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rPr>
          <w:b/>
        </w:rPr>
        <w:t xml:space="preserve">Social</w:t>
      </w:r>
      <w:r>
        <w:t xml:space="preserve"> </w:t>
      </w:r>
      <w:r>
        <w:t xml:space="preserve">Media</w:t>
      </w:r>
      <w:r>
        <w:t xml:space="preserve"> </w:t>
      </w:r>
      <w:r>
        <w:t xml:space="preserve">Strategy</w:t>
      </w:r>
    </w:p>
    <w:p>
      <w:pPr>
        <w:pStyle w:val="FirstParagraph"/>
        <w:jc w:val="center"/>
      </w:pPr>
      <w:r>
        <w:t xml:space="preserve">Preliminary Social Media Marketing Strategy: Patagonia</w:t>
      </w:r>
    </w:p>
    <w:p>
      <w:pPr>
        <w:pStyle w:val="BodyText"/>
        <w:jc w:val="center"/>
      </w:pPr>
      <w:r>
        <w:t xml:space="preserve">[Your Name]</w:t>
      </w:r>
    </w:p>
    <w:p>
      <w:pPr>
        <w:pStyle w:val="BodyText"/>
        <w:jc w:val="center"/>
      </w:pPr>
      <w:r>
        <w:t xml:space="preserve">[Institution]</w:t>
      </w:r>
    </w:p>
    <w:p>
      <w:pPr>
        <w:pStyle w:val="BodyText"/>
        <w:jc w:val="center"/>
      </w:pPr>
      <w:r>
        <w:t xml:space="preserve">[Course Number and Name]</w:t>
      </w:r>
    </w:p>
    <w:p>
      <w:pPr>
        <w:pStyle w:val="BodyText"/>
        <w:jc w:val="center"/>
      </w:pPr>
      <w:r>
        <w:t xml:space="preserve">[Instructor]</w:t>
      </w:r>
    </w:p>
    <w:p>
      <w:pPr>
        <w:pStyle w:val="BodyText"/>
        <w:jc w:val="center"/>
      </w:pPr>
      <w:r>
        <w:t xml:space="preserve">[Date]</w:t>
      </w:r>
    </w:p>
    <w:p>
      <w:pPr>
        <w:pStyle w:val="BodyText"/>
      </w:pPr>
      <w:r>
        <w:rPr>
          <w:iCs/>
          <w:i/>
        </w:rPr>
        <w:t xml:space="preserve">Original example for study purposes. Replace bracketed items, verify current social media data and add your course textbook.</w:t>
      </w:r>
    </w:p>
    <w:bookmarkStart w:id="25" w:name="X8ee139f20ba560bce4fffc62c1064c3449e39b4"/>
    <w:p>
      <w:pPr>
        <w:pStyle w:val="Heading3"/>
      </w:pPr>
      <w:r>
        <w:t xml:space="preserve">Preliminary Social Media Marketing Strategy: Patagonia</w:t>
      </w:r>
    </w:p>
    <w:bookmarkStart w:id="20" w:name="X10a9c437c38430d0138014cb533cfa619e145ec"/>
    <w:p>
      <w:pPr>
        <w:pStyle w:val="Heading4"/>
      </w:pPr>
      <w:r>
        <w:t xml:space="preserve">Part 1: Organization and Audience Analysis</w:t>
      </w:r>
    </w:p>
    <w:p>
      <w:pPr>
        <w:pStyle w:val="FirstParagraph"/>
      </w:pPr>
      <w:r>
        <w:rPr>
          <w:bCs/>
          <w:b/>
        </w:rPr>
        <w:t xml:space="preserve">The organization.</w:t>
      </w:r>
      <w:r>
        <w:t xml:space="preserve"> </w:t>
      </w:r>
      <w:r>
        <w:t xml:space="preserve">Patagonia is an outdoor apparel and gear company founded by Yvon Chouinard and known for durable products and environmental activism. In 2022, the Chouinard family transferred ownership of the company to a trust and a nonprofit organization so that profits not reinvested in the business would fund efforts to address the environmental crisis. Patagonia's mission, building the best products while using business to protect nature, makes values central to its marketing.</w:t>
      </w:r>
    </w:p>
    <w:p>
      <w:pPr>
        <w:pStyle w:val="BodyText"/>
      </w:pPr>
      <w:r>
        <w:rPr>
          <w:bCs/>
          <w:b/>
        </w:rPr>
        <w:t xml:space="preserve">Target audience.</w:t>
      </w:r>
      <w:r>
        <w:t xml:space="preserve"> </w:t>
      </w:r>
      <w:r>
        <w:t xml:space="preserve">Patagonia's primary audience is outdoor enthusiasts, including climbers, surfers, skiers, anglers and hikers, along with urban, values-driven consumers aged roughly 25 to 45 who prioritize sustainability and are willing to pay more for durable, responsibly made products. A secondary audience includes younger consumers (Gen Z) who care about climate issues but may not yet be customers.</w:t>
      </w:r>
    </w:p>
    <w:p>
      <w:pPr>
        <w:pStyle w:val="BodyText"/>
      </w:pPr>
      <w:r>
        <w:rPr>
          <w:bCs/>
          <w:b/>
        </w:rPr>
        <w:t xml:space="preserve">Current social media presence.</w:t>
      </w:r>
      <w:r>
        <w:t xml:space="preserve"> </w:t>
      </w:r>
      <w:r>
        <w:t xml:space="preserve">Patagonia uses social media primarily for storytelling rather than direct selling. It shares outdoor photography, environmental campaigns, athlete stories and long-form films on YouTube, and it promotes its Worn Wear program for repairing and reselling used gear. The brand has also been willing to take positions that affect its social media marketing; in 2021, it announced it would stop paid advertising on Facebook's platforms, with CEO Ryan Gellert urging Facebook to "prioritize people and planet over profit" (Isenberg, 2021). Patagonia's strengths are authentic content and a loyal community. Weaknesses include a limited presence on short-form video compared with competitors and less two-way engagement than its community could support.</w:t>
      </w:r>
    </w:p>
    <w:p>
      <w:pPr>
        <w:pStyle w:val="BodyText"/>
      </w:pPr>
      <w:r>
        <w:rPr>
          <w:bCs/>
          <w:b/>
        </w:rPr>
        <w:t xml:space="preserve">Online communities and consumer interactions.</w:t>
      </w:r>
      <w:r>
        <w:t xml:space="preserve"> </w:t>
      </w:r>
      <w:r>
        <w:t xml:space="preserve">Patagonia's customers are part of passionate communities, such as climbing, surfing and environmental activism groups, that create and share their own content. User-generated content, reviews and conversations in these communities influence purchase decisions more than traditional advertising. Appel et al. (2020) argue that social media is increasingly about communities, influencers and consumer-created content, and that marketers must adapt to these networks rather than simply broadcast messages. For Patagonia, this means its biggest opportunity is to empower its community to tell stories about durability, repair and protecting wild places.</w:t>
      </w:r>
    </w:p>
    <w:bookmarkEnd w:id="20"/>
    <w:bookmarkStart w:id="21" w:name="part-2-smart-social-media-objectives"/>
    <w:p>
      <w:pPr>
        <w:pStyle w:val="Heading4"/>
      </w:pPr>
      <w:r>
        <w:t xml:space="preserve">Part 2: SMART Social Media Objectives</w:t>
      </w:r>
    </w:p>
    <w:p>
      <w:pPr>
        <w:numPr>
          <w:ilvl w:val="0"/>
          <w:numId w:val="1001"/>
        </w:numPr>
        <w:pStyle w:val="Compact"/>
      </w:pPr>
      <w:r>
        <w:rPr>
          <w:bCs/>
          <w:b/>
        </w:rPr>
        <w:t xml:space="preserve">Increase Worn Wear engagement:</w:t>
      </w:r>
      <w:r>
        <w:t xml:space="preserve"> </w:t>
      </w:r>
      <w:r>
        <w:t xml:space="preserve">increase traffic from social media to the Worn Wear resale and repair pages by 25% within 12 months, measured through tracked links.</w:t>
      </w:r>
      <w:r>
        <w:t xml:space="preserve"> </w:t>
      </w:r>
      <w:r>
        <w:rPr>
          <w:iCs/>
          <w:i/>
        </w:rPr>
        <w:t xml:space="preserve">Business goal:</w:t>
      </w:r>
      <w:r>
        <w:t xml:space="preserve"> </w:t>
      </w:r>
      <w:r>
        <w:t xml:space="preserve">supports Patagonia's circular business model and its message that buying less and repairing more is better for the planet.</w:t>
      </w:r>
    </w:p>
    <w:p>
      <w:pPr>
        <w:numPr>
          <w:ilvl w:val="0"/>
          <w:numId w:val="1001"/>
        </w:numPr>
        <w:pStyle w:val="Compact"/>
      </w:pPr>
      <w:r>
        <w:rPr>
          <w:bCs/>
          <w:b/>
        </w:rPr>
        <w:t xml:space="preserve">Grow a younger audience:</w:t>
      </w:r>
      <w:r>
        <w:t xml:space="preserve"> </w:t>
      </w:r>
      <w:r>
        <w:t xml:space="preserve">grow Patagonia's TikTok following by 40% and achieve an average engagement rate of at least 5% on short-form videos within 12 months.</w:t>
      </w:r>
      <w:r>
        <w:t xml:space="preserve"> </w:t>
      </w:r>
      <w:r>
        <w:rPr>
          <w:iCs/>
          <w:i/>
        </w:rPr>
        <w:t xml:space="preserve">Business goal:</w:t>
      </w:r>
      <w:r>
        <w:t xml:space="preserve"> </w:t>
      </w:r>
      <w:r>
        <w:t xml:space="preserve">builds brand awareness and long-term loyalty among Gen Z consumers who will become future customers.</w:t>
      </w:r>
    </w:p>
    <w:p>
      <w:pPr>
        <w:numPr>
          <w:ilvl w:val="0"/>
          <w:numId w:val="1001"/>
        </w:numPr>
        <w:pStyle w:val="Compact"/>
      </w:pPr>
      <w:r>
        <w:rPr>
          <w:bCs/>
          <w:b/>
        </w:rPr>
        <w:t xml:space="preserve">Drive environmental action:</w:t>
      </w:r>
      <w:r>
        <w:t xml:space="preserve"> </w:t>
      </w:r>
      <w:r>
        <w:t xml:space="preserve">generate 100,000 social media-driven actions, such as petition signatures, event sign-ups or donations to environmental grantees, during two campaigns in the next fiscal year.</w:t>
      </w:r>
      <w:r>
        <w:t xml:space="preserve"> </w:t>
      </w:r>
      <w:r>
        <w:rPr>
          <w:iCs/>
          <w:i/>
        </w:rPr>
        <w:t xml:space="preserve">Business goal:</w:t>
      </w:r>
      <w:r>
        <w:t xml:space="preserve"> </w:t>
      </w:r>
      <w:r>
        <w:t xml:space="preserve">advances the company's mission and strengthens brand differentiation based on purpose.</w:t>
      </w:r>
    </w:p>
    <w:bookmarkEnd w:id="21"/>
    <w:bookmarkStart w:id="22" w:name="X7bb546e68f67a1a75054e54244497dd763b393f"/>
    <w:p>
      <w:pPr>
        <w:pStyle w:val="Heading4"/>
      </w:pPr>
      <w:r>
        <w:t xml:space="preserve">Part 3: Platform Selection and Influencer Strategy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Platform</w:t>
            </w:r>
          </w:p>
        </w:tc>
        <w:tc>
          <w:tcPr/>
          <w:p>
            <w:pPr>
              <w:pStyle w:val="Compact"/>
              <w:jc w:val="left"/>
            </w:pPr>
            <w:r>
              <w:t xml:space="preserve">Relevance to Patagonia's audience</w:t>
            </w:r>
          </w:p>
        </w:tc>
        <w:tc>
          <w:tcPr/>
          <w:p>
            <w:pPr>
              <w:pStyle w:val="Compact"/>
              <w:jc w:val="left"/>
            </w:pPr>
            <w:r>
              <w:t xml:space="preserve">Recommendation</w:t>
            </w:r>
          </w:p>
        </w:tc>
      </w:tr>
      <w:tr>
        <w:tc>
          <w:tcPr/>
          <w:p>
            <w:pPr>
              <w:pStyle w:val="Compact"/>
              <w:jc w:val="left"/>
            </w:pPr>
            <w:r>
              <w:t xml:space="preserve">Instagram</w:t>
            </w:r>
          </w:p>
        </w:tc>
        <w:tc>
          <w:tcPr/>
          <w:p>
            <w:pPr>
              <w:pStyle w:val="Compact"/>
              <w:jc w:val="left"/>
            </w:pPr>
            <w:r>
              <w:t xml:space="preserve">Visual storytelling, outdoor photography, Reels and community content</w:t>
            </w:r>
          </w:p>
        </w:tc>
        <w:tc>
          <w:tcPr/>
          <w:p>
            <w:pPr>
              <w:pStyle w:val="Compact"/>
              <w:jc w:val="left"/>
            </w:pPr>
            <w:r>
              <w:rPr>
                <w:bCs/>
                <w:b/>
              </w:rPr>
              <w:t xml:space="preserve">Priority</w:t>
            </w:r>
          </w:p>
        </w:tc>
      </w:tr>
      <w:tr>
        <w:tc>
          <w:tcPr/>
          <w:p>
            <w:pPr>
              <w:pStyle w:val="Compact"/>
              <w:jc w:val="left"/>
            </w:pPr>
            <w:r>
              <w:t xml:space="preserve">YouTube</w:t>
            </w:r>
          </w:p>
        </w:tc>
        <w:tc>
          <w:tcPr/>
          <w:p>
            <w:pPr>
              <w:pStyle w:val="Compact"/>
              <w:jc w:val="left"/>
            </w:pPr>
            <w:r>
              <w:t xml:space="preserve">Long-form environmental films, repair tutorials and athlete stories</w:t>
            </w:r>
          </w:p>
        </w:tc>
        <w:tc>
          <w:tcPr/>
          <w:p>
            <w:pPr>
              <w:pStyle w:val="Compact"/>
              <w:jc w:val="left"/>
            </w:pPr>
            <w:r>
              <w:rPr>
                <w:bCs/>
                <w:b/>
              </w:rPr>
              <w:t xml:space="preserve">Priority</w:t>
            </w:r>
          </w:p>
        </w:tc>
      </w:tr>
      <w:tr>
        <w:tc>
          <w:tcPr/>
          <w:p>
            <w:pPr>
              <w:pStyle w:val="Compact"/>
              <w:jc w:val="left"/>
            </w:pPr>
            <w:r>
              <w:t xml:space="preserve">TikTok</w:t>
            </w:r>
          </w:p>
        </w:tc>
        <w:tc>
          <w:tcPr/>
          <w:p>
            <w:pPr>
              <w:pStyle w:val="Compact"/>
              <w:jc w:val="left"/>
            </w:pPr>
            <w:r>
              <w:t xml:space="preserve">Reaches younger audiences with short, authentic videos (repair hacks, outdoor adventures, climate explainers)</w:t>
            </w:r>
          </w:p>
        </w:tc>
        <w:tc>
          <w:tcPr/>
          <w:p>
            <w:pPr>
              <w:pStyle w:val="Compact"/>
              <w:jc w:val="left"/>
            </w:pPr>
            <w:r>
              <w:rPr>
                <w:bCs/>
                <w:b/>
              </w:rPr>
              <w:t xml:space="preserve">Priority (growth)</w:t>
            </w:r>
          </w:p>
        </w:tc>
      </w:tr>
      <w:tr>
        <w:tc>
          <w:tcPr/>
          <w:p>
            <w:pPr>
              <w:pStyle w:val="Compact"/>
              <w:jc w:val="left"/>
            </w:pPr>
            <w:r>
              <w:t xml:space="preserve">LinkedIn</w:t>
            </w:r>
          </w:p>
        </w:tc>
        <w:tc>
          <w:tcPr/>
          <w:p>
            <w:pPr>
              <w:pStyle w:val="Compact"/>
              <w:jc w:val="left"/>
            </w:pPr>
            <w:r>
              <w:t xml:space="preserve">Corporate responsibility, recruiting and business-model leadership</w:t>
            </w:r>
          </w:p>
        </w:tc>
        <w:tc>
          <w:tcPr/>
          <w:p>
            <w:pPr>
              <w:pStyle w:val="Compact"/>
              <w:jc w:val="left"/>
            </w:pPr>
            <w:r>
              <w:t xml:space="preserve">Secondary</w:t>
            </w:r>
          </w:p>
        </w:tc>
      </w:tr>
      <w:tr>
        <w:tc>
          <w:tcPr/>
          <w:p>
            <w:pPr>
              <w:pStyle w:val="Compact"/>
              <w:jc w:val="left"/>
            </w:pPr>
            <w:r>
              <w:t xml:space="preserve">Pinterest</w:t>
            </w:r>
          </w:p>
        </w:tc>
        <w:tc>
          <w:tcPr/>
          <w:p>
            <w:pPr>
              <w:pStyle w:val="Compact"/>
              <w:jc w:val="left"/>
            </w:pPr>
            <w:r>
              <w:t xml:space="preserve">Outdoor planning and style inspiration</w:t>
            </w:r>
          </w:p>
        </w:tc>
        <w:tc>
          <w:tcPr/>
          <w:p>
            <w:pPr>
              <w:pStyle w:val="Compact"/>
              <w:jc w:val="left"/>
            </w:pPr>
            <w:r>
              <w:t xml:space="preserve">Secondary (low effort, repurposed content)</w:t>
            </w:r>
          </w:p>
        </w:tc>
      </w:tr>
      <w:tr>
        <w:tc>
          <w:tcPr/>
          <w:p>
            <w:pPr>
              <w:pStyle w:val="Compact"/>
              <w:jc w:val="left"/>
            </w:pPr>
            <w:r>
              <w:t xml:space="preserve">Facebook</w:t>
            </w:r>
          </w:p>
        </w:tc>
        <w:tc>
          <w:tcPr/>
          <w:p>
            <w:pPr>
              <w:pStyle w:val="Compact"/>
              <w:jc w:val="left"/>
            </w:pPr>
            <w:r>
              <w:t xml:space="preserve">Older audience and community groups; Patagonia ended paid advertising there</w:t>
            </w:r>
          </w:p>
        </w:tc>
        <w:tc>
          <w:tcPr/>
          <w:p>
            <w:pPr>
              <w:pStyle w:val="Compact"/>
              <w:jc w:val="left"/>
            </w:pPr>
            <w:r>
              <w:t xml:space="preserve">Maintain organically; not a priority</w:t>
            </w:r>
          </w:p>
        </w:tc>
      </w:tr>
      <w:tr>
        <w:tc>
          <w:tcPr/>
          <w:p>
            <w:pPr>
              <w:pStyle w:val="Compact"/>
              <w:jc w:val="left"/>
            </w:pPr>
            <w:r>
              <w:t xml:space="preserve">X</w:t>
            </w:r>
          </w:p>
        </w:tc>
        <w:tc>
          <w:tcPr/>
          <w:p>
            <w:pPr>
              <w:pStyle w:val="Compact"/>
              <w:jc w:val="left"/>
            </w:pPr>
            <w:r>
              <w:t xml:space="preserve">Real-time news and activism, but brand safety concerns and declining brand engagement</w:t>
            </w:r>
          </w:p>
        </w:tc>
        <w:tc>
          <w:tcPr/>
          <w:p>
            <w:pPr>
              <w:pStyle w:val="Compact"/>
              <w:jc w:val="left"/>
            </w:pPr>
            <w:r>
              <w:t xml:space="preserve">Not a priority; monitor only</w:t>
            </w:r>
          </w:p>
        </w:tc>
      </w:tr>
    </w:tbl>
    <w:p>
      <w:pPr>
        <w:pStyle w:val="BodyText"/>
      </w:pPr>
      <w:r>
        <w:rPr>
          <w:bCs/>
          <w:b/>
        </w:rPr>
        <w:t xml:space="preserve">Reasoning.</w:t>
      </w:r>
      <w:r>
        <w:t xml:space="preserve"> </w:t>
      </w:r>
      <w:r>
        <w:t xml:space="preserve">Instagram and YouTube align with Patagonia's strength in visual and long-form storytelling, while TikTok is essential for reaching younger consumers in a format that rewards authenticity. LinkedIn suits corporate messaging but does not drive product engagement. Facebook and X carry brand safety and values conflicts that make them poor fits for active investment, though Patagonia should keep a presence for customer service and monitoring.</w:t>
      </w:r>
    </w:p>
    <w:p>
      <w:pPr>
        <w:pStyle w:val="BodyText"/>
      </w:pPr>
      <w:r>
        <w:rPr>
          <w:bCs/>
          <w:b/>
        </w:rPr>
        <w:t xml:space="preserve">Influencer and community approach.</w:t>
      </w:r>
      <w:r>
        <w:t xml:space="preserve"> </w:t>
      </w:r>
      <w:r>
        <w:t xml:space="preserve">Instead of paying celebrities, Patagonia should build a</w:t>
      </w:r>
      <w:r>
        <w:t xml:space="preserve"> </w:t>
      </w:r>
      <w:r>
        <w:rPr>
          <w:bCs/>
          <w:b/>
        </w:rPr>
        <w:t xml:space="preserve">micro-influencer and ambassador community</w:t>
      </w:r>
      <w:r>
        <w:t xml:space="preserve"> </w:t>
      </w:r>
      <w:r>
        <w:t xml:space="preserve">made up of everyday athletes, repair experts, conservation scientists and environmental activists with smaller but highly engaged followings. Leung et al. (2022) found that influencer marketing effectiveness depends on characteristics of the influencer, the content and the audience, not simply follower count, so selecting credible creators whose values and audiences match the brand is more important than reach alone [connect to Chapter 3 concepts such as opinion leaders, source credibility and online communities]. Ambassadors would create "Worn Wear stories" showing gear repaired after years of use, which reinforces Patagonia's message more credibly than advertising.</w:t>
      </w:r>
    </w:p>
    <w:bookmarkEnd w:id="22"/>
    <w:bookmarkStart w:id="23" w:name="part-4-social-media-governance-policy"/>
    <w:p>
      <w:pPr>
        <w:pStyle w:val="Heading4"/>
      </w:pPr>
      <w:r>
        <w:t xml:space="preserve">Part 4: Social Media Governance Policy</w:t>
      </w:r>
    </w:p>
    <w:p>
      <w:pPr>
        <w:numPr>
          <w:ilvl w:val="0"/>
          <w:numId w:val="1002"/>
        </w:numPr>
        <w:pStyle w:val="Compact"/>
      </w:pPr>
      <w:r>
        <w:rPr>
          <w:bCs/>
          <w:b/>
        </w:rPr>
        <w:t xml:space="preserve">Employee social media conduct:</w:t>
      </w:r>
      <w:r>
        <w:t xml:space="preserve"> </w:t>
      </w:r>
      <w:r>
        <w:t xml:space="preserve">employees may share Patagonia content and their own outdoor and activism experiences but must identify themselves as employees when discussing the company, avoid sharing confidential information and speak for the company only if authorized. Respectful conduct is expected even in personal posts that identify the employee's employer.</w:t>
      </w:r>
    </w:p>
    <w:p>
      <w:pPr>
        <w:numPr>
          <w:ilvl w:val="0"/>
          <w:numId w:val="1002"/>
        </w:numPr>
        <w:pStyle w:val="Compact"/>
      </w:pPr>
      <w:r>
        <w:rPr>
          <w:bCs/>
          <w:b/>
        </w:rPr>
        <w:t xml:space="preserve">Ethical and responsible posting:</w:t>
      </w:r>
      <w:r>
        <w:t xml:space="preserve"> </w:t>
      </w:r>
      <w:r>
        <w:t xml:space="preserve">all environmental claims must be accurate and verifiable to avoid greenwashing. Paid partnerships must be clearly disclosed, consistent with Federal Trade Commission endorsement guidance. Content must respect privacy and obtain permission before using customers' photos, and it must follow accessibility practices such as captions and alt text.</w:t>
      </w:r>
    </w:p>
    <w:p>
      <w:pPr>
        <w:numPr>
          <w:ilvl w:val="0"/>
          <w:numId w:val="1002"/>
        </w:numPr>
        <w:pStyle w:val="Compact"/>
      </w:pPr>
      <w:r>
        <w:rPr>
          <w:bCs/>
          <w:b/>
        </w:rPr>
        <w:t xml:space="preserve">Customer engagement and communication:</w:t>
      </w:r>
      <w:r>
        <w:t xml:space="preserve"> </w:t>
      </w:r>
      <w:r>
        <w:t xml:space="preserve">respond to questions and service issues within 24 hours in a friendly, honest voice; move personal or order issues to private messages; and highlight customer stories with permission.</w:t>
      </w:r>
    </w:p>
    <w:p>
      <w:pPr>
        <w:numPr>
          <w:ilvl w:val="0"/>
          <w:numId w:val="1002"/>
        </w:numPr>
        <w:pStyle w:val="Compact"/>
      </w:pPr>
      <w:r>
        <w:rPr>
          <w:bCs/>
          <w:b/>
        </w:rPr>
        <w:t xml:space="preserve">Managing negative comments:</w:t>
      </w:r>
      <w:r>
        <w:t xml:space="preserve"> </w:t>
      </w:r>
      <w:r>
        <w:t xml:space="preserve">respond respectfully to legitimate criticism, acknowledge mistakes and explain actions being taken. Do not delete comments simply because they disagree with the company; remove only content that violates posted community guidelines, such as hate speech, harassment, spam or threats.</w:t>
      </w:r>
    </w:p>
    <w:p>
      <w:pPr>
        <w:numPr>
          <w:ilvl w:val="0"/>
          <w:numId w:val="1002"/>
        </w:numPr>
        <w:pStyle w:val="Compact"/>
      </w:pPr>
      <w:r>
        <w:rPr>
          <w:bCs/>
          <w:b/>
        </w:rPr>
        <w:t xml:space="preserve">Crisis communication and escalation:</w:t>
      </w:r>
      <w:r>
        <w:t xml:space="preserve"> </w:t>
      </w:r>
      <w:r>
        <w:t xml:space="preserve">classify issues by severity. Level 1 (routine complaints) is handled by the social team; Level 2 (growing negative attention or product safety concerns) is escalated to communications and product leaders within two hours; Level 3 (major safety, legal or reputational crises) activates the crisis team, including legal and executive leadership. During a crisis, pause scheduled posts, issue a holding statement quickly, provide updates on a set schedule and use one official voice across platforms.</w:t>
      </w:r>
    </w:p>
    <w:bookmarkEnd w:id="23"/>
    <w:bookmarkStart w:id="24" w:name="part-5-executive-recommendations"/>
    <w:p>
      <w:pPr>
        <w:pStyle w:val="Heading4"/>
      </w:pPr>
      <w:r>
        <w:t xml:space="preserve">Part 5: Executive Recommendations</w:t>
      </w:r>
    </w:p>
    <w:p>
      <w:pPr>
        <w:numPr>
          <w:ilvl w:val="0"/>
          <w:numId w:val="1003"/>
        </w:numPr>
        <w:pStyle w:val="Compact"/>
      </w:pPr>
      <w:r>
        <w:rPr>
          <w:bCs/>
          <w:b/>
        </w:rPr>
        <w:t xml:space="preserve">Build a community-powered Worn Wear content program.</w:t>
      </w:r>
      <w:r>
        <w:t xml:space="preserve"> </w:t>
      </w:r>
      <w:r>
        <w:t xml:space="preserve">Encourage customers to share stories of long-lasting and repaired gear using a branded hashtag, and feature the best stories across platforms. This strengthens engagement and differentiates Patagonia from fast-fashion competitors, reinforcing its competitive advantage in durability and sustainability (Appel et al., 2020).</w:t>
      </w:r>
    </w:p>
    <w:p>
      <w:pPr>
        <w:numPr>
          <w:ilvl w:val="0"/>
          <w:numId w:val="1003"/>
        </w:numPr>
        <w:pStyle w:val="Compact"/>
      </w:pPr>
      <w:r>
        <w:rPr>
          <w:bCs/>
          <w:b/>
        </w:rPr>
        <w:t xml:space="preserve">Invest in short-form video and a credible creator network.</w:t>
      </w:r>
      <w:r>
        <w:t xml:space="preserve"> </w:t>
      </w:r>
      <w:r>
        <w:t xml:space="preserve">Develop a consistent TikTok and Instagram Reels series, such as repair tutorials and "field notes" from ambassadors, and partner with micro-influencers whose audiences care about the outdoors and climate. This approach builds awareness among younger consumers while maintaining authenticity (Leung et al., 2022).</w:t>
      </w:r>
    </w:p>
    <w:p>
      <w:pPr>
        <w:numPr>
          <w:ilvl w:val="0"/>
          <w:numId w:val="1003"/>
        </w:numPr>
        <w:pStyle w:val="Compact"/>
      </w:pPr>
      <w:r>
        <w:rPr>
          <w:bCs/>
          <w:b/>
        </w:rPr>
        <w:t xml:space="preserve">Measure what matters.</w:t>
      </w:r>
      <w:r>
        <w:t xml:space="preserve"> </w:t>
      </w:r>
      <w:r>
        <w:t xml:space="preserve">Create a dashboard that links social metrics to business and mission outcomes, including engagement rate, traffic to Worn Wear, conversion, sentiment and environmental actions taken. Regular measurement will allow Patagonia to shift resources to the content and platforms that work best, improving organizational performance.</w:t>
      </w:r>
    </w:p>
    <w:p>
      <w:pPr>
        <w:pStyle w:val="FirstParagraph"/>
      </w:pPr>
      <w:r>
        <w:t xml:space="preserve">Together, these recommendations align Patagonia's social media with its mission and business goals, turning its loyal community into its most persuasive marketing channel.</w:t>
      </w:r>
    </w:p>
    <w:p>
      <w:pPr>
        <w:pStyle w:val="BodyText"/>
      </w:pPr>
      <w:r>
        <w:rPr>
          <w:bCs/>
          <w:b/>
        </w:rPr>
        <w:t xml:space="preserve">References</w:t>
      </w:r>
    </w:p>
    <w:p>
      <w:pPr>
        <w:pStyle w:val="BodyText"/>
      </w:pPr>
      <w:r>
        <w:t xml:space="preserve">Appel, G., Grewal, L., Hadi, R., &amp; Stephen, A. T. (2020). The future of social media in marketing.</w:t>
      </w:r>
      <w:r>
        <w:t xml:space="preserve"> </w:t>
      </w:r>
      <w:r>
        <w:rPr>
          <w:iCs/>
          <w:i/>
        </w:rPr>
        <w:t xml:space="preserve">Journal of the Academy of Marketing Science, 48</w:t>
      </w:r>
      <w:r>
        <w:t xml:space="preserve">(1), 79–95. https://doi.org/10.1007/s11747-019-00695-1</w:t>
      </w:r>
    </w:p>
    <w:p>
      <w:pPr>
        <w:pStyle w:val="BodyText"/>
      </w:pPr>
      <w:r>
        <w:t xml:space="preserve">Isenberg, D. (2021, October 30).</w:t>
      </w:r>
      <w:r>
        <w:t xml:space="preserve"> </w:t>
      </w:r>
      <w:r>
        <w:rPr>
          <w:iCs/>
          <w:i/>
        </w:rPr>
        <w:t xml:space="preserve">Patagonia stops advertising on Facebook, seeks others to join effort</w:t>
      </w:r>
      <w:r>
        <w:t xml:space="preserve">. GigaLaw. https://giga.law/daily-news/2021/10/30/patagonia-stops-advertising-on-facebook-seeks-others-to-join-effort</w:t>
      </w:r>
    </w:p>
    <w:p>
      <w:pPr>
        <w:pStyle w:val="BodyText"/>
      </w:pPr>
      <w:r>
        <w:t xml:space="preserve">Leung, F. F., Gu, F. F., Li, Y., Zhang, J. Z., &amp; Palmatier, R. W. (2022). Influencer marketing effectiveness.</w:t>
      </w:r>
      <w:r>
        <w:t xml:space="preserve"> </w:t>
      </w:r>
      <w:r>
        <w:rPr>
          <w:iCs/>
          <w:i/>
        </w:rPr>
        <w:t xml:space="preserve">Journal of Marketing, 86</w:t>
      </w:r>
      <w:r>
        <w:t xml:space="preserve">(6), 93–115. https://doi.org/10.1177/00222429221102889</w:t>
      </w:r>
    </w:p>
    <w:p>
      <w:pPr>
        <w:pStyle w:val="BodyText"/>
      </w:pPr>
      <w:r>
        <w:t xml:space="preserve">[Your course textbook, including Chapter 3, in APA format.]</w:t>
      </w:r>
    </w:p>
    <w:bookmarkEnd w:id="24"/>
    <w:bookmarkEnd w:id="25"/>
    <w:sectPr>
      <w:pgMar w:top="1440" w:bottom="1440" w:left="1440" w:right="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480" w:lineRule="auto"/>
    </w:pPr>
    <w:rPr>
      <w:rFonts w:ascii="Times New Roman" w:hAnsi="Times New Roman" w:eastAsia="Times New Roman"/>
      <w:color w:val="000000"/>
      <w:sz w:val="24"/>
    </w:rPr>
  </w:style>
  <w:style w:styleId="BodyText" w:type="paragraph">
    <w:name w:val="Body Text"/>
    <w:basedOn w:val="Normal"/>
    <w:link w:val="BodyTextChar"/>
    <w:pPr>
      <w:spacing w:after="180" w:before="180" w:line="480" w:lineRule="auto"/>
    </w:pPr>
    <w:qFormat/>
    <w:rPr>
      <w:rFonts w:ascii="Times New Roman" w:hAnsi="Times New Roman" w:eastAsia="Times New Roman"/>
      <w:color w:val="000000"/>
      <w:sz w:val="24"/>
    </w:rPr>
  </w:style>
  <w:style w:customStyle="1" w:styleId="FirstParagraph" w:type="paragraph">
    <w:name w:val="First Paragraph"/>
    <w:basedOn w:val="BodyText"/>
    <w:next w:val="BodyText"/>
    <w:qFormat/>
    <w:pPr>
      <w:spacing w:line="480" w:lineRule="auto"/>
    </w:pPr>
    <w:rPr>
      <w:rFonts w:ascii="Times New Roman" w:hAnsi="Times New Roman" w:eastAsia="Times New Roman"/>
      <w:color w:val="000000"/>
      <w:sz w:val="24"/>
    </w:rPr>
  </w:style>
  <w:style w:customStyle="1" w:styleId="Compact" w:type="paragraph">
    <w:name w:val="Compact"/>
    <w:basedOn w:val="BodyText"/>
    <w:qFormat/>
    <w:pPr>
      <w:spacing w:after="36" w:before="36" w:line="480" w:lineRule="auto"/>
    </w:pPr>
    <w:rPr>
      <w:rFonts w:ascii="Times New Roman" w:hAnsi="Times New Roman" w:eastAsia="Times New Roman"/>
      <w:color w:val="000000"/>
      <w:sz w:val="24"/>
    </w:rPr>
  </w:style>
  <w:style w:styleId="Title" w:type="paragraph">
    <w:name w:val="Title"/>
    <w:basedOn w:val="Normal"/>
    <w:next w:val="BodyText"/>
    <w:qFormat/>
    <w:pPr>
      <w:keepNext/>
      <w:keepLines/>
      <w:spacing w:after="240" w:before="480" w:line="480" w:lineRule="auto"/>
      <w:jc w:val="center"/>
    </w:pPr>
    <w:rPr>
      <w:rFonts w:asciiTheme="majorHAnsi" w:cstheme="majorBidi" w:eastAsiaTheme="majorEastAsia" w:hAnsiTheme="majorHAnsi" w:ascii="Times New Roman" w:hAnsi="Times New Roman" w:eastAsia="Times New Roman"/>
      <w:b/>
      <w:bCs/>
      <w:color w:val="000000"/>
      <w:sz w:val="24"/>
      <w:szCs w:val="36"/>
    </w:rPr>
  </w:style>
  <w:style w:styleId="Subtitle" w:type="paragraph">
    <w:name w:val="Subtitle"/>
    <w:basedOn w:val="Title"/>
    <w:next w:val="BodyText"/>
    <w:qFormat/>
    <w:pPr>
      <w:keepNext/>
      <w:keepLines/>
      <w:spacing w:after="240" w:before="240" w:line="480" w:lineRule="auto"/>
      <w:jc w:val="center"/>
    </w:pPr>
    <w:rPr>
      <w:rFonts w:ascii="Times New Roman" w:hAnsi="Times New Roman" w:eastAsia="Times New Roman"/>
      <w:color w:val="000000"/>
      <w:sz w:val="24"/>
      <w:szCs w:val="30"/>
    </w:rPr>
  </w:style>
  <w:style w:customStyle="1" w:styleId="Author" w:type="paragraph">
    <w:name w:val="Author"/>
    <w:next w:val="BodyText"/>
    <w:qFormat/>
    <w:pPr>
      <w:keepNext/>
      <w:keepLines/>
      <w:spacing w:line="480" w:lineRule="auto"/>
      <w:jc w:val="center"/>
    </w:pPr>
    <w:rPr>
      <w:rFonts w:ascii="Times New Roman" w:hAnsi="Times New Roman" w:eastAsia="Times New Roman"/>
      <w:color w:val="000000"/>
      <w:sz w:val="24"/>
    </w:rPr>
  </w:style>
  <w:style w:styleId="Date" w:type="paragraph">
    <w:name w:val="Date"/>
    <w:next w:val="BodyText"/>
    <w:qFormat/>
    <w:pPr>
      <w:keepNext/>
      <w:keepLines/>
      <w:spacing w:line="480" w:lineRule="auto"/>
      <w:jc w:val="center"/>
    </w:pPr>
    <w:rPr>
      <w:rFonts w:ascii="Times New Roman" w:hAnsi="Times New Roman" w:eastAsia="Times New Roman"/>
      <w:color w:val="000000"/>
      <w:sz w:val="24"/>
    </w:rPr>
  </w:style>
  <w:style w:customStyle="1" w:styleId="AbstractTitle" w:type="paragraph">
    <w:name w:val="Abstract Title"/>
    <w:basedOn w:val="Normal"/>
    <w:next w:val="Abstract"/>
    <w:qFormat/>
    <w:pPr>
      <w:keepNext/>
      <w:keepLines/>
      <w:jc w:val="center"/>
      <w:spacing w:after="0" w:before="300" w:line="480" w:lineRule="auto"/>
    </w:pPr>
    <w:rPr>
      <w:color w:val="000000"/>
      <w:sz w:val="24"/>
      <w:szCs w:val="20"/>
      <w:rFonts w:ascii="Times New Roman" w:hAnsi="Times New Roman" w:eastAsia="Times New Roman"/>
      <w:b/>
    </w:rPr>
  </w:style>
  <w:style w:customStyle="1" w:styleId="Abstract" w:type="paragraph">
    <w:name w:val="Abstract"/>
    <w:basedOn w:val="Normal"/>
    <w:next w:val="BodyText"/>
    <w:qFormat/>
    <w:pPr>
      <w:keepNext/>
      <w:keepLines/>
      <w:spacing w:after="300" w:before="100" w:line="480" w:lineRule="auto"/>
    </w:pPr>
    <w:rPr>
      <w:rFonts w:ascii="Times New Roman" w:hAnsi="Times New Roman" w:eastAsia="Times New Roman"/>
      <w:color w:val="000000"/>
      <w:sz w:val="24"/>
      <w:szCs w:val="20"/>
    </w:rPr>
  </w:style>
  <w:style w:styleId="Bibliography" w:type="paragraph">
    <w:name w:val="Bibliography"/>
    <w:basedOn w:val="Normal"/>
    <w:next w:val="Bibliography"/>
    <w:qFormat/>
    <w:pPr>
      <w:spacing w:line="480" w:lineRule="auto"/>
    </w:pPr>
    <w:rPr>
      <w:rFonts w:ascii="Times New Roman" w:hAnsi="Times New Roman" w:eastAsia="Times New Roman"/>
      <w:color w:val="000000"/>
      <w:sz w:val="24"/>
    </w:rPr>
  </w:style>
  <w:style w:styleId="Heading1" w:type="paragraph">
    <w:name w:val="Heading 1"/>
    <w:basedOn w:val="Normal"/>
    <w:next w:val="BodyText"/>
    <w:uiPriority w:val="9"/>
    <w:qFormat/>
    <w:pPr>
      <w:keepNext/>
      <w:keepLines/>
      <w:spacing w:after="0" w:before="480" w:line="480" w:lineRule="auto"/>
      <w:outlineLvl w:val="0"/>
    </w:pPr>
    <w:rPr>
      <w:rFonts w:asciiTheme="majorHAnsi" w:cstheme="majorBidi" w:eastAsiaTheme="majorEastAsia" w:hAnsiTheme="majorHAnsi" w:ascii="Times New Roman" w:hAnsi="Times New Roman" w:eastAsia="Times New Roman"/>
      <w:b/>
      <w:bCs/>
      <w:color w:val="000000"/>
      <w:sz w:val="24"/>
      <w:szCs w:val="32"/>
    </w:rPr>
  </w:style>
  <w:style w:styleId="Heading2" w:type="paragraph">
    <w:name w:val="Heading 2"/>
    <w:basedOn w:val="Normal"/>
    <w:next w:val="BodyText"/>
    <w:uiPriority w:val="9"/>
    <w:unhideWhenUsed/>
    <w:qFormat/>
    <w:pPr>
      <w:keepNext/>
      <w:keepLines/>
      <w:spacing w:after="0" w:before="200" w:line="480" w:lineRule="auto"/>
      <w:outlineLvl w:val="1"/>
    </w:pPr>
    <w:rPr>
      <w:rFonts w:asciiTheme="majorHAnsi" w:cstheme="majorBidi" w:eastAsiaTheme="majorEastAsia" w:hAnsiTheme="majorHAnsi" w:ascii="Times New Roman" w:hAnsi="Times New Roman" w:eastAsia="Times New Roman"/>
      <w:b/>
      <w:bCs/>
      <w:color w:val="000000"/>
      <w:sz w:val="24"/>
      <w:szCs w:val="28"/>
    </w:rPr>
  </w:style>
  <w:style w:styleId="Heading3" w:type="paragraph">
    <w:name w:val="Heading 3"/>
    <w:basedOn w:val="Normal"/>
    <w:next w:val="BodyText"/>
    <w:uiPriority w:val="9"/>
    <w:unhideWhenUsed/>
    <w:qFormat/>
    <w:pPr>
      <w:keepNext/>
      <w:keepLines/>
      <w:spacing w:after="0" w:before="200" w:line="480" w:lineRule="auto"/>
      <w:outlineLvl w:val="2"/>
    </w:pPr>
    <w:rPr>
      <w:rFonts w:asciiTheme="majorHAnsi" w:cstheme="majorBidi" w:eastAsiaTheme="majorEastAsia" w:hAnsiTheme="majorHAnsi" w:ascii="Times New Roman" w:hAnsi="Times New Roman" w:eastAsia="Times New Roman"/>
      <w:b/>
      <w:bCs/>
      <w:color w:val="000000"/>
      <w:sz w:val="24"/>
      <w:szCs w:val="24"/>
    </w:rPr>
  </w:style>
  <w:style w:styleId="Heading4" w:type="paragraph">
    <w:name w:val="Heading 4"/>
    <w:basedOn w:val="Normal"/>
    <w:next w:val="BodyText"/>
    <w:uiPriority w:val="9"/>
    <w:unhideWhenUsed/>
    <w:qFormat/>
    <w:pPr>
      <w:keepNext/>
      <w:keepLines/>
      <w:spacing w:after="0" w:before="200" w:line="480" w:lineRule="auto"/>
      <w:outlineLvl w:val="3"/>
    </w:pPr>
    <w:rPr>
      <w:rFonts w:asciiTheme="majorHAnsi" w:cstheme="majorBidi" w:eastAsiaTheme="majorEastAsia" w:hAnsiTheme="majorHAnsi" w:ascii="Times New Roman" w:hAnsi="Times New Roman" w:eastAsia="Times New Roman"/>
      <w:i/>
      <w:bCs/>
      <w:color w:val="000000"/>
      <w:sz w:val="24"/>
      <w:szCs w:val="24"/>
    </w:rPr>
  </w:style>
  <w:style w:styleId="Heading5" w:type="paragraph">
    <w:name w:val="Heading 5"/>
    <w:basedOn w:val="Normal"/>
    <w:next w:val="BodyText"/>
    <w:uiPriority w:val="9"/>
    <w:unhideWhenUsed/>
    <w:qFormat/>
    <w:pPr>
      <w:keepNext/>
      <w:keepLines/>
      <w:spacing w:after="0" w:before="200" w:line="480" w:lineRule="auto"/>
      <w:outlineLvl w:val="4"/>
    </w:pPr>
    <w:rPr>
      <w:rFonts w:asciiTheme="majorHAnsi" w:cstheme="majorBidi" w:eastAsiaTheme="majorEastAsia" w:hAnsiTheme="majorHAnsi" w:ascii="Times New Roman" w:hAnsi="Times New Roman" w:eastAsia="Times New Roman"/>
      <w:iCs/>
      <w:color w:val="000000"/>
      <w:sz w:val="24"/>
      <w:szCs w:val="24"/>
    </w:rPr>
  </w:style>
  <w:style w:styleId="Heading6" w:type="paragraph">
    <w:name w:val="Heading 6"/>
    <w:basedOn w:val="Normal"/>
    <w:next w:val="BodyText"/>
    <w:uiPriority w:val="9"/>
    <w:unhideWhenUsed/>
    <w:qFormat/>
    <w:pPr>
      <w:keepNext/>
      <w:keepLines/>
      <w:spacing w:after="0" w:before="200" w:line="480" w:lineRule="auto"/>
      <w:outlineLvl w:val="5"/>
    </w:pPr>
    <w:rPr>
      <w:rFonts w:asciiTheme="majorHAnsi" w:cstheme="majorBidi" w:eastAsiaTheme="majorEastAsia" w:hAnsiTheme="majorHAnsi" w:ascii="Times New Roman" w:hAnsi="Times New Roman" w:eastAsia="Times New Roman"/>
      <w:color w:val="000000"/>
      <w:sz w:val="24"/>
      <w:szCs w:val="24"/>
    </w:rPr>
  </w:style>
  <w:style w:styleId="Heading7" w:type="paragraph">
    <w:name w:val="Heading 7"/>
    <w:basedOn w:val="Normal"/>
    <w:next w:val="BodyText"/>
    <w:uiPriority w:val="9"/>
    <w:unhideWhenUsed/>
    <w:qFormat/>
    <w:pPr>
      <w:keepNext/>
      <w:keepLines/>
      <w:spacing w:after="0" w:before="200" w:line="480" w:lineRule="auto"/>
      <w:outlineLvl w:val="6"/>
    </w:pPr>
    <w:rPr>
      <w:rFonts w:asciiTheme="majorHAnsi" w:cstheme="majorBidi" w:eastAsiaTheme="majorEastAsia" w:hAnsiTheme="majorHAnsi" w:ascii="Times New Roman" w:hAnsi="Times New Roman" w:eastAsia="Times New Roman"/>
      <w:color w:val="000000"/>
      <w:sz w:val="24"/>
      <w:szCs w:val="24"/>
    </w:rPr>
  </w:style>
  <w:style w:styleId="Heading8" w:type="paragraph">
    <w:name w:val="Heading 8"/>
    <w:basedOn w:val="Normal"/>
    <w:next w:val="BodyText"/>
    <w:uiPriority w:val="9"/>
    <w:unhideWhenUsed/>
    <w:qFormat/>
    <w:pPr>
      <w:keepNext/>
      <w:keepLines/>
      <w:spacing w:after="0" w:before="200" w:line="480" w:lineRule="auto"/>
      <w:outlineLvl w:val="7"/>
    </w:pPr>
    <w:rPr>
      <w:rFonts w:asciiTheme="majorHAnsi" w:cstheme="majorBidi" w:eastAsiaTheme="majorEastAsia" w:hAnsiTheme="majorHAnsi" w:ascii="Times New Roman" w:hAnsi="Times New Roman" w:eastAsia="Times New Roman"/>
      <w:color w:val="000000"/>
      <w:sz w:val="24"/>
      <w:szCs w:val="24"/>
    </w:rPr>
  </w:style>
  <w:style w:styleId="Heading9" w:type="paragraph">
    <w:name w:val="Heading 9"/>
    <w:basedOn w:val="Normal"/>
    <w:next w:val="BodyText"/>
    <w:uiPriority w:val="9"/>
    <w:unhideWhenUsed/>
    <w:qFormat/>
    <w:pPr>
      <w:keepNext/>
      <w:keepLines/>
      <w:spacing w:after="0" w:before="200" w:line="480" w:lineRule="auto"/>
      <w:outlineLvl w:val="8"/>
    </w:pPr>
    <w:rPr>
      <w:rFonts w:asciiTheme="majorHAnsi" w:cstheme="majorBidi" w:eastAsiaTheme="majorEastAsia" w:hAnsiTheme="majorHAnsi" w:ascii="Times New Roman" w:hAnsi="Times New Roman" w:eastAsia="Times New Roman"/>
      <w:color w:val="000000"/>
      <w:sz w:val="24"/>
      <w:szCs w:val="24"/>
    </w:rPr>
  </w:style>
  <w:style w:styleId="BlockText" w:type="paragraph">
    <w:name w:val="Block Text"/>
    <w:basedOn w:val="BodyText"/>
    <w:next w:val="BodyText"/>
    <w:uiPriority w:val="9"/>
    <w:unhideWhenUsed/>
    <w:qFormat/>
    <w:pPr>
      <w:spacing w:after="100" w:before="100" w:line="480" w:lineRule="auto"/>
      <w:ind w:firstLine="0" w:left="480" w:right="480"/>
    </w:pPr>
    <w:rPr>
      <w:rFonts w:ascii="Times New Roman" w:hAnsi="Times New Roman" w:eastAsia="Times New Roman"/>
      <w:color w:val="000000"/>
      <w:sz w:val="24"/>
    </w:rPr>
  </w:style>
  <w:style w:styleId="FootnoteText" w:type="paragraph">
    <w:name w:val="Footnote Text"/>
    <w:basedOn w:val="Normal"/>
    <w:next w:val="FootnoteText"/>
    <w:uiPriority w:val="9"/>
    <w:unhideWhenUsed/>
    <w:qFormat/>
    <w:pPr>
      <w:spacing w:line="480" w:lineRule="auto"/>
    </w:pPr>
    <w:rPr>
      <w:rFonts w:ascii="Times New Roman" w:hAnsi="Times New Roman" w:eastAsia="Times New Roman"/>
      <w:color w:val="000000"/>
      <w:sz w:val="24"/>
    </w:rPr>
  </w:style>
  <w:style w:default="1" w:styleId="DefaultParagraphFont" w:type="character">
    <w:name w:val="Default Paragraph Font"/>
    <w:semiHidden/>
    <w:unhideWhenUsed/>
    <w:rPr>
      <w:rFonts w:ascii="Times New Roman" w:hAnsi="Times New Roman" w:eastAsia="Times New Roman"/>
      <w:sz w:val="24"/>
    </w:rPr>
  </w:style>
  <w:style w:default="1" w:styleId="Table" w:type="table">
    <w:name w:val="Table"/>
    <w:basedOn w:val="TableNormal"/>
    <w:semiHidden/>
    <w:unhideWhenUsed/>
    <w:qFormat/>
    <w:pPr>
      <w:spacing w:line="480" w:lineRule="auto"/>
    </w:pPr>
    <w:rPr>
      <w:rFonts w:ascii="Times New Roman" w:hAnsi="Times New Roman" w:eastAsia="Times New Roman"/>
      <w:color w:val="000000"/>
      <w:sz w:val="24"/>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line="480" w:lineRule="auto"/>
    </w:pPr>
    <w:rPr>
      <w:rFonts w:ascii="Times New Roman" w:hAnsi="Times New Roman" w:eastAsia="Times New Roman"/>
      <w:b/>
      <w:color w:val="000000"/>
      <w:sz w:val="24"/>
    </w:rPr>
  </w:style>
  <w:style w:customStyle="1" w:styleId="Definition" w:type="paragraph">
    <w:name w:val="Definition"/>
    <w:basedOn w:val="Normal"/>
    <w:pPr>
      <w:spacing w:line="480" w:lineRule="auto"/>
    </w:pPr>
    <w:rPr>
      <w:rFonts w:ascii="Times New Roman" w:hAnsi="Times New Roman" w:eastAsia="Times New Roman"/>
      <w:color w:val="000000"/>
      <w:sz w:val="24"/>
    </w:rPr>
  </w:style>
  <w:style w:styleId="Caption" w:type="paragraph">
    <w:name w:val="Caption"/>
    <w:basedOn w:val="Normal"/>
    <w:link w:val="BodyTextChar"/>
    <w:pPr>
      <w:spacing w:after="120" w:before="0" w:line="480" w:lineRule="auto"/>
    </w:pPr>
    <w:rPr>
      <w:rFonts w:ascii="Times New Roman" w:hAnsi="Times New Roman" w:eastAsia="Times New Roman"/>
      <w:i/>
      <w:color w:val="000000"/>
      <w:sz w:val="24"/>
    </w:rPr>
  </w:style>
  <w:style w:customStyle="1" w:styleId="TableCaption" w:type="paragraph">
    <w:name w:val="Table Caption"/>
    <w:basedOn w:val="Caption"/>
    <w:pPr>
      <w:keepNext/>
      <w:spacing w:line="480" w:lineRule="auto"/>
    </w:pPr>
    <w:rPr>
      <w:rFonts w:ascii="Times New Roman" w:hAnsi="Times New Roman" w:eastAsia="Times New Roman"/>
      <w:color w:val="000000"/>
      <w:sz w:val="24"/>
    </w:rPr>
  </w:style>
  <w:style w:customStyle="1" w:styleId="ImageCaption" w:type="paragraph">
    <w:name w:val="Image Caption"/>
    <w:basedOn w:val="Caption"/>
    <w:pPr>
      <w:spacing w:line="480" w:lineRule="auto"/>
    </w:pPr>
    <w:rPr>
      <w:rFonts w:ascii="Times New Roman" w:hAnsi="Times New Roman" w:eastAsia="Times New Roman"/>
      <w:color w:val="000000"/>
      <w:sz w:val="24"/>
    </w:rPr>
  </w:style>
  <w:style w:customStyle="1" w:styleId="Figure" w:type="paragraph">
    <w:name w:val="Figure"/>
    <w:basedOn w:val="Normal"/>
    <w:pPr>
      <w:spacing w:line="480" w:lineRule="auto"/>
    </w:pPr>
    <w:rPr>
      <w:rFonts w:ascii="Times New Roman" w:hAnsi="Times New Roman" w:eastAsia="Times New Roman"/>
      <w:color w:val="000000"/>
      <w:sz w:val="24"/>
    </w:rPr>
  </w:style>
  <w:style w:customStyle="1" w:styleId="CaptionedFigure" w:type="paragraph">
    <w:name w:val="Captioned Figure"/>
    <w:basedOn w:val="Figure"/>
    <w:pPr>
      <w:keepNext/>
      <w:spacing w:line="480" w:lineRule="auto"/>
    </w:pPr>
    <w:rPr>
      <w:rFonts w:ascii="Times New Roman" w:hAnsi="Times New Roman" w:eastAsia="Times New Roman"/>
      <w:color w:val="000000"/>
      <w:sz w:val="24"/>
    </w:rPr>
  </w:style>
  <w:style w:customStyle="1" w:styleId="BodyTextChar" w:type="character">
    <w:name w:val="Body Text Char"/>
    <w:basedOn w:val="DefaultParagraphFont"/>
    <w:link w:val="BodyText"/>
    <w:rPr>
      <w:rFonts w:ascii="Times New Roman" w:hAnsi="Times New Roman" w:eastAsia="Times New Roman"/>
      <w:sz w:val="24"/>
    </w:rPr>
  </w:style>
  <w:style w:customStyle="1" w:styleId="VerbatimChar" w:type="character">
    <w:name w:val="Verbatim Char"/>
    <w:basedOn w:val="BodyTextChar"/>
    <w:rPr>
      <w:rFonts w:ascii="Times New Roman" w:hAnsi="Times New Roman" w:eastAsia="Times New Roman"/>
      <w:sz w:val="24"/>
    </w:rPr>
  </w:style>
  <w:style w:customStyle="1" w:styleId="SectionNumber" w:type="character">
    <w:name w:val="Section Number"/>
    <w:basedOn w:val="BodyTextChar"/>
    <w:rPr>
      <w:rFonts w:ascii="Times New Roman" w:hAnsi="Times New Roman" w:eastAsia="Times New Roman"/>
      <w:sz w:val="24"/>
    </w:rPr>
  </w:style>
  <w:style w:styleId="FootnoteReference" w:type="character">
    <w:name w:val="Footnote Reference"/>
    <w:basedOn w:val="BodyTextChar"/>
    <w:rPr>
      <w:rFonts w:ascii="Times New Roman" w:hAnsi="Times New Roman" w:eastAsia="Times New Roman"/>
      <w:sz w:val="24"/>
      <w:vertAlign w:val="superscript"/>
    </w:rPr>
  </w:style>
  <w:style w:styleId="Hyperlink" w:type="character">
    <w:name w:val="Hyperlink"/>
    <w:basedOn w:val="BodyTextChar"/>
    <w:rPr>
      <w:rFonts w:ascii="Times New Roman" w:hAnsi="Times New Roman" w:eastAsia="Times New Roman"/>
      <w:color w:themeColor="accent1" w:val="4F81BD"/>
      <w:sz w:val="24"/>
    </w:rPr>
  </w:style>
  <w:style w:styleId="TOCHeading" w:type="paragraph">
    <w:name w:val="TOC Heading"/>
    <w:basedOn w:val="Heading1"/>
    <w:next w:val="BodyText"/>
    <w:uiPriority w:val="39"/>
    <w:unhideWhenUsed/>
    <w:qFormat/>
    <w:pPr>
      <w:spacing w:before="240" w:line="480" w:lineRule="auto"/>
      <w:outlineLvl w:val="9"/>
    </w:pPr>
    <w:rPr>
      <w:rFonts w:asciiTheme="majorHAnsi" w:cstheme="majorBidi" w:eastAsiaTheme="majorEastAsia" w:hAnsiTheme="majorHAnsi" w:ascii="Times New Roman" w:hAnsi="Times New Roman" w:eastAsia="Times New Roman"/>
      <w:b w:val="0"/>
      <w:bCs w:val="0"/>
      <w:color w:val="000000"/>
      <w:sz w:val="24"/>
    </w:rPr>
  </w:style>
  <w:style w:type="paragraph" w:customStyle="1" w:styleId="SourceCode">
    <w:name w:val="Source Code"/>
    <w:basedOn w:val="Normal"/>
    <w:link w:val="VerbatimChar"/>
    <w:pPr>
      <w:wordWrap w:val="off"/>
      <w:spacing w:line="480" w:lineRule="auto"/>
    </w:pPr>
    <w:rPr>
      <w:rFonts w:ascii="Times New Roman" w:hAnsi="Times New Roman" w:eastAsia="Times New Roman"/>
      <w:color w:val="000000"/>
      <w:sz w:val="24"/>
    </w:rPr>
  </w:style>
  <w:style w:type="character" w:customStyle="1" w:styleId="KeywordTok">
    <w:name w:val="KeywordTok"/>
    <w:basedOn w:val="VerbatimChar"/>
    <w:rPr>
      <w:color w:val="007020"/>
      <w:rFonts w:ascii="Times New Roman" w:hAnsi="Times New Roman" w:eastAsia="Times New Roman"/>
      <w:b/>
      <w:sz w:val="24"/>
    </w:rPr>
  </w:style>
  <w:style w:type="character" w:customStyle="1" w:styleId="DataTypeTok">
    <w:name w:val="DataTypeTok"/>
    <w:basedOn w:val="VerbatimChar"/>
    <w:rPr>
      <w:rFonts w:ascii="Times New Roman" w:hAnsi="Times New Roman" w:eastAsia="Times New Roman"/>
      <w:color w:val="902000"/>
      <w:sz w:val="24"/>
    </w:rPr>
  </w:style>
  <w:style w:type="character" w:customStyle="1" w:styleId="DecValTok">
    <w:name w:val="DecValTok"/>
    <w:basedOn w:val="VerbatimChar"/>
    <w:rPr>
      <w:rFonts w:ascii="Times New Roman" w:hAnsi="Times New Roman" w:eastAsia="Times New Roman"/>
      <w:color w:val="40a070"/>
      <w:sz w:val="24"/>
    </w:rPr>
  </w:style>
  <w:style w:type="character" w:customStyle="1" w:styleId="BaseNTok">
    <w:name w:val="BaseNTok"/>
    <w:basedOn w:val="VerbatimChar"/>
    <w:rPr>
      <w:rFonts w:ascii="Times New Roman" w:hAnsi="Times New Roman" w:eastAsia="Times New Roman"/>
      <w:color w:val="40a070"/>
      <w:sz w:val="24"/>
    </w:rPr>
  </w:style>
  <w:style w:type="character" w:customStyle="1" w:styleId="FloatTok">
    <w:name w:val="FloatTok"/>
    <w:basedOn w:val="VerbatimChar"/>
    <w:rPr>
      <w:rFonts w:ascii="Times New Roman" w:hAnsi="Times New Roman" w:eastAsia="Times New Roman"/>
      <w:color w:val="40a070"/>
      <w:sz w:val="24"/>
    </w:rPr>
  </w:style>
  <w:style w:type="character" w:customStyle="1" w:styleId="ConstantTok">
    <w:name w:val="ConstantTok"/>
    <w:basedOn w:val="VerbatimChar"/>
    <w:rPr>
      <w:rFonts w:ascii="Times New Roman" w:hAnsi="Times New Roman" w:eastAsia="Times New Roman"/>
      <w:color w:val="880000"/>
      <w:sz w:val="24"/>
    </w:rPr>
  </w:style>
  <w:style w:type="character" w:customStyle="1" w:styleId="CharTok">
    <w:name w:val="CharTok"/>
    <w:basedOn w:val="VerbatimChar"/>
    <w:rPr>
      <w:rFonts w:ascii="Times New Roman" w:hAnsi="Times New Roman" w:eastAsia="Times New Roman"/>
      <w:color w:val="4070a0"/>
      <w:sz w:val="24"/>
    </w:rPr>
  </w:style>
  <w:style w:type="character" w:customStyle="1" w:styleId="SpecialCharTok">
    <w:name w:val="SpecialCharTok"/>
    <w:basedOn w:val="VerbatimChar"/>
    <w:rPr>
      <w:rFonts w:ascii="Times New Roman" w:hAnsi="Times New Roman" w:eastAsia="Times New Roman"/>
      <w:color w:val="4070a0"/>
      <w:sz w:val="24"/>
    </w:rPr>
  </w:style>
  <w:style w:type="character" w:customStyle="1" w:styleId="StringTok">
    <w:name w:val="StringTok"/>
    <w:basedOn w:val="VerbatimChar"/>
    <w:rPr>
      <w:rFonts w:ascii="Times New Roman" w:hAnsi="Times New Roman" w:eastAsia="Times New Roman"/>
      <w:color w:val="4070a0"/>
      <w:sz w:val="24"/>
    </w:rPr>
  </w:style>
  <w:style w:type="character" w:customStyle="1" w:styleId="VerbatimStringTok">
    <w:name w:val="VerbatimStringTok"/>
    <w:basedOn w:val="VerbatimChar"/>
    <w:rPr>
      <w:rFonts w:ascii="Times New Roman" w:hAnsi="Times New Roman" w:eastAsia="Times New Roman"/>
      <w:color w:val="4070a0"/>
      <w:sz w:val="24"/>
    </w:rPr>
  </w:style>
  <w:style w:type="character" w:customStyle="1" w:styleId="SpecialStringTok">
    <w:name w:val="SpecialStringTok"/>
    <w:basedOn w:val="VerbatimChar"/>
    <w:rPr>
      <w:rFonts w:ascii="Times New Roman" w:hAnsi="Times New Roman" w:eastAsia="Times New Roman"/>
      <w:color w:val="bb6688"/>
      <w:sz w:val="24"/>
    </w:rPr>
  </w:style>
  <w:style w:type="character" w:customStyle="1" w:styleId="ImportTok">
    <w:name w:val="ImportTok"/>
    <w:basedOn w:val="VerbatimChar"/>
    <w:rPr>
      <w:color w:val="008000"/>
      <w:rFonts w:ascii="Times New Roman" w:hAnsi="Times New Roman" w:eastAsia="Times New Roman"/>
      <w:b/>
      <w:sz w:val="24"/>
    </w:rPr>
  </w:style>
  <w:style w:type="character" w:customStyle="1" w:styleId="CommentTok">
    <w:name w:val="CommentTok"/>
    <w:basedOn w:val="VerbatimChar"/>
    <w:rPr>
      <w:color w:val="60a0b0"/>
      <w:rFonts w:ascii="Times New Roman" w:hAnsi="Times New Roman" w:eastAsia="Times New Roman"/>
      <w:i/>
      <w:sz w:val="24"/>
    </w:rPr>
  </w:style>
  <w:style w:type="character" w:customStyle="1" w:styleId="DocumentationTok">
    <w:name w:val="DocumentationTok"/>
    <w:basedOn w:val="VerbatimChar"/>
    <w:rPr>
      <w:color w:val="ba2121"/>
      <w:rFonts w:ascii="Times New Roman" w:hAnsi="Times New Roman" w:eastAsia="Times New Roman"/>
      <w:i/>
      <w:sz w:val="24"/>
    </w:rPr>
  </w:style>
  <w:style w:type="character" w:customStyle="1" w:styleId="AnnotationTok">
    <w:name w:val="AnnotationTok"/>
    <w:basedOn w:val="VerbatimChar"/>
    <w:rPr>
      <w:color w:val="60a0b0"/>
      <w:rFonts w:ascii="Times New Roman" w:hAnsi="Times New Roman" w:eastAsia="Times New Roman"/>
      <w:b/>
      <w:i/>
      <w:sz w:val="24"/>
    </w:rPr>
  </w:style>
  <w:style w:type="character" w:customStyle="1" w:styleId="CommentVarTok">
    <w:name w:val="CommentVarTok"/>
    <w:basedOn w:val="VerbatimChar"/>
    <w:rPr>
      <w:color w:val="60a0b0"/>
      <w:rFonts w:ascii="Times New Roman" w:hAnsi="Times New Roman" w:eastAsia="Times New Roman"/>
      <w:b/>
      <w:i/>
      <w:sz w:val="24"/>
    </w:rPr>
  </w:style>
  <w:style w:type="character" w:customStyle="1" w:styleId="OtherTok">
    <w:name w:val="OtherTok"/>
    <w:basedOn w:val="VerbatimChar"/>
    <w:rPr>
      <w:rFonts w:ascii="Times New Roman" w:hAnsi="Times New Roman" w:eastAsia="Times New Roman"/>
      <w:color w:val="007020"/>
      <w:sz w:val="24"/>
    </w:rPr>
  </w:style>
  <w:style w:type="character" w:customStyle="1" w:styleId="FunctionTok">
    <w:name w:val="FunctionTok"/>
    <w:basedOn w:val="VerbatimChar"/>
    <w:rPr>
      <w:rFonts w:ascii="Times New Roman" w:hAnsi="Times New Roman" w:eastAsia="Times New Roman"/>
      <w:color w:val="06287e"/>
      <w:sz w:val="24"/>
    </w:rPr>
  </w:style>
  <w:style w:type="character" w:customStyle="1" w:styleId="VariableTok">
    <w:name w:val="VariableTok"/>
    <w:basedOn w:val="VerbatimChar"/>
    <w:rPr>
      <w:rFonts w:ascii="Times New Roman" w:hAnsi="Times New Roman" w:eastAsia="Times New Roman"/>
      <w:color w:val="19177c"/>
      <w:sz w:val="24"/>
    </w:rPr>
  </w:style>
  <w:style w:type="character" w:customStyle="1" w:styleId="ControlFlowTok">
    <w:name w:val="ControlFlowTok"/>
    <w:basedOn w:val="VerbatimChar"/>
    <w:rPr>
      <w:color w:val="007020"/>
      <w:rFonts w:ascii="Times New Roman" w:hAnsi="Times New Roman" w:eastAsia="Times New Roman"/>
      <w:b/>
      <w:sz w:val="24"/>
    </w:rPr>
  </w:style>
  <w:style w:type="character" w:customStyle="1" w:styleId="OperatorTok">
    <w:name w:val="OperatorTok"/>
    <w:basedOn w:val="VerbatimChar"/>
    <w:rPr>
      <w:rFonts w:ascii="Times New Roman" w:hAnsi="Times New Roman" w:eastAsia="Times New Roman"/>
      <w:color w:val="666666"/>
      <w:sz w:val="24"/>
    </w:rPr>
  </w:style>
  <w:style w:type="character" w:customStyle="1" w:styleId="BuiltInTok">
    <w:name w:val="BuiltInTok"/>
    <w:basedOn w:val="VerbatimChar"/>
    <w:rPr>
      <w:rFonts w:ascii="Times New Roman" w:hAnsi="Times New Roman" w:eastAsia="Times New Roman"/>
      <w:color w:val="008000"/>
      <w:sz w:val="24"/>
    </w:rPr>
  </w:style>
  <w:style w:type="character" w:customStyle="1" w:styleId="ExtensionTok">
    <w:name w:val="ExtensionTok"/>
    <w:basedOn w:val="VerbatimChar"/>
    <w:rPr>
      <w:rFonts w:ascii="Times New Roman" w:hAnsi="Times New Roman" w:eastAsia="Times New Roman"/>
      <w:sz w:val="24"/>
    </w:rPr>
  </w:style>
  <w:style w:type="character" w:customStyle="1" w:styleId="PreprocessorTok">
    <w:name w:val="PreprocessorTok"/>
    <w:basedOn w:val="VerbatimChar"/>
    <w:rPr>
      <w:rFonts w:ascii="Times New Roman" w:hAnsi="Times New Roman" w:eastAsia="Times New Roman"/>
      <w:color w:val="bc7a00"/>
      <w:sz w:val="24"/>
    </w:rPr>
  </w:style>
  <w:style w:type="character" w:customStyle="1" w:styleId="AttributeTok">
    <w:name w:val="AttributeTok"/>
    <w:basedOn w:val="VerbatimChar"/>
    <w:rPr>
      <w:rFonts w:ascii="Times New Roman" w:hAnsi="Times New Roman" w:eastAsia="Times New Roman"/>
      <w:color w:val="7d9029"/>
      <w:sz w:val="24"/>
    </w:rPr>
  </w:style>
  <w:style w:type="character" w:customStyle="1" w:styleId="RegionMarkerTok">
    <w:name w:val="RegionMarkerTok"/>
    <w:basedOn w:val="VerbatimChar"/>
    <w:rPr>
      <w:rFonts w:ascii="Times New Roman" w:hAnsi="Times New Roman" w:eastAsia="Times New Roman"/>
      <w:sz w:val="24"/>
    </w:rPr>
  </w:style>
  <w:style w:type="character" w:customStyle="1" w:styleId="InformationTok">
    <w:name w:val="InformationTok"/>
    <w:basedOn w:val="VerbatimChar"/>
    <w:rPr>
      <w:color w:val="60a0b0"/>
      <w:rFonts w:ascii="Times New Roman" w:hAnsi="Times New Roman" w:eastAsia="Times New Roman"/>
      <w:b/>
      <w:i/>
      <w:sz w:val="24"/>
    </w:rPr>
  </w:style>
  <w:style w:type="character" w:customStyle="1" w:styleId="WarningTok">
    <w:name w:val="WarningTok"/>
    <w:basedOn w:val="VerbatimChar"/>
    <w:rPr>
      <w:color w:val="60a0b0"/>
      <w:rFonts w:ascii="Times New Roman" w:hAnsi="Times New Roman" w:eastAsia="Times New Roman"/>
      <w:b/>
      <w:i/>
      <w:sz w:val="24"/>
    </w:rPr>
  </w:style>
  <w:style w:type="character" w:customStyle="1" w:styleId="AlertTok">
    <w:name w:val="AlertTok"/>
    <w:basedOn w:val="VerbatimChar"/>
    <w:rPr>
      <w:color w:val="ff0000"/>
      <w:rFonts w:ascii="Times New Roman" w:hAnsi="Times New Roman" w:eastAsia="Times New Roman"/>
      <w:b/>
      <w:sz w:val="24"/>
    </w:rPr>
  </w:style>
  <w:style w:type="character" w:customStyle="1" w:styleId="ErrorTok">
    <w:name w:val="ErrorTok"/>
    <w:basedOn w:val="VerbatimChar"/>
    <w:rPr>
      <w:color w:val="ff0000"/>
      <w:rFonts w:ascii="Times New Roman" w:hAnsi="Times New Roman" w:eastAsia="Times New Roman"/>
      <w:b/>
      <w:sz w:val="24"/>
    </w:rPr>
  </w:style>
  <w:style w:type="character" w:customStyle="1" w:styleId="NormalTok">
    <w:name w:val="NormalTok"/>
    <w:basedOn w:val="VerbatimChar"/>
    <w:rPr>
      <w:rFonts w:ascii="Times New Roman" w:hAnsi="Times New Roman" w:eastAsia="Times New Roman"/>
      <w:sz w:val="24"/>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Strategy</dc:title>
  <dc:creator/>
  <cp:keywords/>
  <dcterms:created xsi:type="dcterms:W3CDTF">2026-11-05T04:29:51Z</dcterms:created>
  <dcterms:modified xsi:type="dcterms:W3CDTF">2026-11-05T04:29:51Z</dcterms:modified>
</cp:coreProperties>
</file>

<file path=docProps/custom.xml><?xml version="1.0" encoding="utf-8"?>
<Properties xmlns="http://schemas.openxmlformats.org/officeDocument/2006/custom-properties" xmlns:vt="http://schemas.openxmlformats.org/officeDocument/2006/docPropsVTypes"/>
</file>