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spacing w:line="480" w:lineRule="auto" w:before="0" w:after="0"/>
        <w:jc w:val="center"/>
      </w:pPr>
      <w:r>
        <w:rPr>
          <w:bCs/>
          <w:rFonts w:ascii="Times New Roman" w:hAnsi="Times New Roman"/>
          <w:b/>
          <w:sz w:val="24"/>
        </w:rPr>
        <w:t xml:space="preserve">Clinical Decision-Making and Leadership in the Transition From Bedside Nursing to Advanced Practice</w:t>
      </w:r>
    </w:p>
    <w:p>
      <w:pPr>
        <w:pStyle w:val="Center"/>
        <w:spacing w:line="480" w:lineRule="auto" w:before="0" w:after="0"/>
        <w:jc w:val="center"/>
      </w:pPr>
      <w:r>
        <w:rPr>
          <w:rFonts w:ascii="Times New Roman" w:hAnsi="Times New Roman"/>
          <w:sz w:val="24"/>
        </w:rPr>
        <w:t xml:space="preserve">[Student Name]</w:t>
      </w:r>
    </w:p>
    <w:p>
      <w:pPr>
        <w:pStyle w:val="Center"/>
        <w:spacing w:line="480" w:lineRule="auto" w:before="0" w:after="0"/>
        <w:jc w:val="center"/>
      </w:pPr>
      <w:r>
        <w:rPr>
          <w:rFonts w:ascii="Times New Roman" w:hAnsi="Times New Roman"/>
          <w:sz w:val="24"/>
        </w:rPr>
        <w:t xml:space="preserve">[Program], [University]</w:t>
      </w:r>
    </w:p>
    <w:p>
      <w:pPr>
        <w:pStyle w:val="Center"/>
        <w:spacing w:line="480" w:lineRule="auto" w:before="0" w:after="0"/>
        <w:jc w:val="center"/>
      </w:pPr>
      <w:r>
        <w:rPr>
          <w:rFonts w:ascii="Times New Roman" w:hAnsi="Times New Roman"/>
          <w:sz w:val="24"/>
        </w:rPr>
        <w:t xml:space="preserve">[Course Number]: [Course Name]</w:t>
      </w:r>
    </w:p>
    <w:p>
      <w:pPr>
        <w:pStyle w:val="Center"/>
        <w:spacing w:line="480" w:lineRule="auto" w:before="0" w:after="0"/>
        <w:jc w:val="center"/>
      </w:pPr>
      <w:r>
        <w:rPr>
          <w:rFonts w:ascii="Times New Roman" w:hAnsi="Times New Roman"/>
          <w:sz w:val="24"/>
        </w:rPr>
        <w:t xml:space="preserve">[Instructor Name]</w:t>
      </w:r>
    </w:p>
    <w:p>
      <w:pPr>
        <w:pStyle w:val="Center"/>
        <w:spacing w:line="480" w:lineRule="auto" w:before="0" w:after="0"/>
        <w:jc w:val="center"/>
      </w:pPr>
      <w:r>
        <w:rPr>
          <w:rFonts w:ascii="Times New Roman" w:hAnsi="Times New Roman"/>
          <w:sz w:val="24"/>
        </w:rPr>
        <w:t xml:space="preserve">[Due Date]</w:t>
      </w:r>
    </w:p>
    <w:p>
      <w:pPr>
        <w:spacing w:line="480" w:lineRule="auto" w:before="0" w:after="0"/>
      </w:pPr>
      <w:r>
        <w:rPr>
          <w:rFonts w:ascii="Times New Roman" w:hAnsi="Times New Roman"/>
          <w:sz w:val="24"/>
        </w:rPr>
        <w:br w:type="page"/>
      </w:r>
    </w:p>
    <w:p>
      <w:pPr>
        <w:pStyle w:val="Title"/>
        <w:spacing w:line="480" w:lineRule="auto" w:before="0" w:after="0"/>
        <w:jc w:val="center"/>
      </w:pPr>
      <w:r>
        <w:rPr>
          <w:bCs/>
          <w:rFonts w:ascii="Times New Roman" w:hAnsi="Times New Roman"/>
          <w:b/>
          <w:sz w:val="24"/>
        </w:rPr>
        <w:t xml:space="preserve">Clinical Decision-Making and Leadership in the Transition From Bedside Nursing to Advanced Practice</w:t>
      </w:r>
    </w:p>
    <w:p>
      <w:pPr>
        <w:pStyle w:val="BodyText"/>
        <w:spacing w:line="480" w:lineRule="auto" w:before="0" w:after="0"/>
        <w:ind w:firstLine="720"/>
      </w:pPr>
      <w:r>
        <w:rPr>
          <w:rFonts w:ascii="Times New Roman" w:hAnsi="Times New Roman"/>
          <w:sz w:val="24"/>
        </w:rPr>
        <w:t xml:space="preserve">Clinical decision-making is the foundation of safe nursing care. At the bedside, registered nurses (RNs) continuously notice changes, interpret data and act to protect patients. As nurses move into advanced practice roles, such as nurse practitioners (NPs) and nurse leaders, the scope, accountability and consequences of their decisions expand. This transition matters because the</w:t>
      </w:r>
      <w:r>
        <w:rPr>
          <w:rFonts w:ascii="Times New Roman" w:hAnsi="Times New Roman"/>
          <w:sz w:val="24"/>
        </w:rPr>
        <w:t xml:space="preserve"> </w:t>
      </w:r>
      <w:r>
        <w:rPr>
          <w:iCs/>
          <w:rFonts w:ascii="Times New Roman" w:hAnsi="Times New Roman"/>
          <w:i/>
          <w:sz w:val="24"/>
        </w:rPr>
        <w:t xml:space="preserve">Future of Nursing 2020–2030</w:t>
      </w:r>
      <w:r>
        <w:rPr>
          <w:rFonts w:ascii="Times New Roman" w:hAnsi="Times New Roman"/>
          <w:sz w:val="24"/>
        </w:rPr>
        <w:t xml:space="preserve"> </w:t>
      </w:r>
      <w:r>
        <w:rPr>
          <w:rFonts w:ascii="Times New Roman" w:hAnsi="Times New Roman"/>
          <w:sz w:val="24"/>
        </w:rPr>
        <w:t xml:space="preserve">report calls on nurses in advanced roles to lead efforts to improve access, quality and health equity (National Academies of Sciences, Engineering, and Medicine [NASEM], 2021). This essay examines how decision-making changes from bedside to advanced practice, compares the skill sets required, identifies the most critical skills for NPs and nurse leaders, analyzes the Scope of Nursing Practice Decision-Making Framework and other standardized tools, and explains how the APRN Consensus Model informs advanced practice decisions, integrating legal, ethical and policy considerations throughout.</w:t>
      </w:r>
    </w:p>
    <w:bookmarkStart w:id="20" w:name="Xc54ac1e148e72bba47c1043a5991c40122b94b4"/>
    <w:p>
      <w:pPr>
        <w:pStyle w:val="Heading2"/>
        <w:spacing w:line="480" w:lineRule="auto" w:before="0" w:after="0"/>
        <w:jc w:val="center"/>
      </w:pPr>
      <w:r>
        <w:rPr>
          <w:rFonts w:ascii="Times New Roman" w:hAnsi="Times New Roman"/>
          <w:b/>
          <w:i w:val="0"/>
          <w:sz w:val="24"/>
        </w:rPr>
        <w:t xml:space="preserve">Transitioning From Bedside Nursing to Advanced Practice</w:t>
      </w:r>
    </w:p>
    <w:p>
      <w:pPr>
        <w:pStyle w:val="FirstParagraph"/>
        <w:spacing w:line="480" w:lineRule="auto" w:before="0" w:after="0"/>
        <w:ind w:firstLine="720"/>
      </w:pPr>
      <w:r>
        <w:rPr>
          <w:rFonts w:ascii="Times New Roman" w:hAnsi="Times New Roman"/>
          <w:sz w:val="24"/>
        </w:rPr>
        <w:t xml:space="preserve">At the bedside, clinical judgment is often described using Tanner’s (2006) model of noticing, interpreting, responding and reflecting, or the National Council of State Boards of Nursing (NCSBN) Clinical Judgment Measurement Model of recognizing cues, analyzing cues, prioritizing hypotheses, generating solutions, taking action and evaluating outcomes (Dickison et al., 2019). The bedside nurse applies these processes within a plan of care largely set by a provider, focusing on recognizing deterioration, implementing orders and escalating concerns.</w:t>
      </w:r>
    </w:p>
    <w:p>
      <w:pPr>
        <w:pStyle w:val="BodyText"/>
        <w:spacing w:line="480" w:lineRule="auto" w:before="0" w:after="0"/>
        <w:ind w:firstLine="720"/>
      </w:pPr>
      <w:r>
        <w:rPr>
          <w:rFonts w:ascii="Times New Roman" w:hAnsi="Times New Roman"/>
          <w:sz w:val="24"/>
        </w:rPr>
        <w:t xml:space="preserve">In advanced practice, these processes expand in three ways. First,</w:t>
      </w:r>
      <w:r>
        <w:rPr>
          <w:rFonts w:ascii="Times New Roman" w:hAnsi="Times New Roman"/>
          <w:sz w:val="24"/>
        </w:rPr>
        <w:t xml:space="preserve"> </w:t>
      </w:r>
      <w:r>
        <w:rPr>
          <w:bCs/>
          <w:rFonts w:ascii="Times New Roman" w:hAnsi="Times New Roman"/>
          <w:b/>
          <w:sz w:val="24"/>
        </w:rPr>
        <w:t xml:space="preserve">the decision moves upstream</w:t>
      </w:r>
      <w:r>
        <w:rPr>
          <w:rFonts w:ascii="Times New Roman" w:hAnsi="Times New Roman"/>
          <w:sz w:val="24"/>
        </w:rPr>
        <w:t xml:space="preserve">: instead of reporting a high blood pressure to the provider, the NP diagnoses, orders tests, prescribes and owns the outcome. Second,</w:t>
      </w:r>
      <w:r>
        <w:rPr>
          <w:rFonts w:ascii="Times New Roman" w:hAnsi="Times New Roman"/>
          <w:sz w:val="24"/>
        </w:rPr>
        <w:t xml:space="preserve"> </w:t>
      </w:r>
      <w:r>
        <w:rPr>
          <w:bCs/>
          <w:rFonts w:ascii="Times New Roman" w:hAnsi="Times New Roman"/>
          <w:b/>
          <w:sz w:val="24"/>
        </w:rPr>
        <w:t xml:space="preserve">the time horizon and scale widen</w:t>
      </w:r>
      <w:r>
        <w:rPr>
          <w:rFonts w:ascii="Times New Roman" w:hAnsi="Times New Roman"/>
          <w:sz w:val="24"/>
        </w:rPr>
        <w:t xml:space="preserve">: NPs manage care over months or years, and nurse leaders make staffing, policy and budget decisions that affect hundreds of patients and staff. Third,</w:t>
      </w:r>
      <w:r>
        <w:rPr>
          <w:rFonts w:ascii="Times New Roman" w:hAnsi="Times New Roman"/>
          <w:sz w:val="24"/>
        </w:rPr>
        <w:t xml:space="preserve"> </w:t>
      </w:r>
      <w:r>
        <w:rPr>
          <w:bCs/>
          <w:rFonts w:ascii="Times New Roman" w:hAnsi="Times New Roman"/>
          <w:b/>
          <w:sz w:val="24"/>
        </w:rPr>
        <w:t xml:space="preserve">accountability becomes more independent and legally consequential</w:t>
      </w:r>
      <w:r>
        <w:rPr>
          <w:rFonts w:ascii="Times New Roman" w:hAnsi="Times New Roman"/>
          <w:sz w:val="24"/>
        </w:rPr>
        <w:t xml:space="preserve">, especially in states with full practice authority, where diagnostic and prescribing decisions carry direct legal liability.</w:t>
      </w:r>
    </w:p>
    <w:p>
      <w:pPr>
        <w:pStyle w:val="BodyText"/>
        <w:spacing w:line="480" w:lineRule="auto" w:before="0" w:after="0"/>
        <w:ind w:firstLine="720"/>
      </w:pPr>
      <w:r>
        <w:rPr>
          <w:rFonts w:ascii="Times New Roman" w:hAnsi="Times New Roman"/>
          <w:sz w:val="24"/>
        </w:rPr>
        <w:t xml:space="preserve">My approach must therefore shift from protocol-driven judgment to deliberate diagnostic reasoning and systems thinking. Beebe et al. (2024) describe APRN diagnostic reasoning as driven by metacognition, in which the clinician monitors his or her own thinking, moves between fast intuitive and slow analytical reasoning, and reflects after each case to refine future decisions. As a bedside nurse, I might recognize that a patient with chest pain</w:t>
      </w:r>
      <w:r>
        <w:rPr>
          <w:rFonts w:ascii="Times New Roman" w:hAnsi="Times New Roman"/>
          <w:sz w:val="24"/>
        </w:rPr>
        <w:t xml:space="preserve"> </w:t>
      </w:r>
      <w:r>
        <w:rPr>
          <w:rFonts w:ascii="Times New Roman" w:hAnsi="Times New Roman"/>
          <w:sz w:val="24"/>
        </w:rPr>
        <w:t xml:space="preserve">“</w:t>
      </w:r>
      <w:r>
        <w:rPr>
          <w:rFonts w:ascii="Times New Roman" w:hAnsi="Times New Roman"/>
          <w:sz w:val="24"/>
        </w:rPr>
        <w:t xml:space="preserve">looks unwell</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and call a rapid response; as an NP, I must generate a differential diagnosis, choose tests, guard against anchoring bias and decide whether the patient can safely stay in the clinic.</w:t>
      </w:r>
    </w:p>
    <w:bookmarkEnd w:id="20"/>
    <w:bookmarkStart w:id="21" w:name="Xa00bd688ebfe65136e345b72e67f8116affd2ea"/>
    <w:p>
      <w:pPr>
        <w:pStyle w:val="Heading2"/>
        <w:spacing w:line="480" w:lineRule="auto" w:before="0" w:after="0"/>
        <w:jc w:val="center"/>
      </w:pPr>
      <w:r>
        <w:rPr>
          <w:rFonts w:ascii="Times New Roman" w:hAnsi="Times New Roman"/>
          <w:b/>
          <w:i w:val="0"/>
          <w:sz w:val="24"/>
        </w:rPr>
        <w:t xml:space="preserve">Comparing Decision-Making and Leadership Skill Sets</w:t>
      </w:r>
    </w:p>
    <w:p>
      <w:pPr>
        <w:pStyle w:val="FirstParagraph"/>
        <w:spacing w:line="480" w:lineRule="auto" w:before="0" w:after="0"/>
        <w:ind w:firstLine="720"/>
      </w:pPr>
      <w:r>
        <w:rPr>
          <w:rFonts w:ascii="Times New Roman" w:hAnsi="Times New Roman"/>
          <w:sz w:val="24"/>
        </w:rPr>
        <w:t xml:space="preserve">The skills of bedside nurses and APNs share a foundation but differ in important ways.</w:t>
      </w:r>
    </w:p>
    <w:tbl>
      <w:tblPr>
        <w:tblStyle w:val="Table"/>
        <w:tblW w:type="pct" w:w="5000"/>
        <w:tblLook w:firstRow="1" w:lastRow="0" w:firstColumn="0" w:lastColumn="0" w:noHBand="0" w:noVBand="0" w:val="0020"/>
        <w:jc w:val="start"/>
        <w:tblBorders>
          <w:top w:val="single" w:sz="4" w:color="000000"/>
          <w:left w:val="single" w:sz="4" w:color="000000"/>
          <w:bottom w:val="single" w:sz="4" w:color="000000"/>
          <w:right w:val="single" w:sz="4" w:color="000000"/>
          <w:insideH w:val="single" w:sz="4" w:color="000000"/>
          <w:insideV w:val="single" w:sz="4" w:color="000000"/>
        </w:tblBorders>
      </w:tblPr>
      <w:tblGrid>
        <w:gridCol w:w="2640"/>
        <w:gridCol w:w="2640"/>
        <w:gridCol w:w="2640"/>
      </w:tblGrid>
      <w:tr>
        <w:trPr>
          <w:tblHeader w:val="true"/>
        </w:trPr>
        <w:tc>
          <w:tcPr/>
          <w:p>
            <w:pPr>
              <w:pStyle w:val="Compact"/>
              <w:spacing w:line="240" w:lineRule="auto"/>
              <w:ind w:firstLine="0"/>
              <w:jc w:val="left"/>
            </w:pPr>
            <w:r>
              <w:rPr>
                <w:rFonts w:ascii="Times New Roman" w:hAnsi="Times New Roman"/>
                <w:sz w:val="22"/>
              </w:rPr>
              <w:t xml:space="preserve">Dimension</w:t>
            </w:r>
          </w:p>
        </w:tc>
        <w:tc>
          <w:tcPr/>
          <w:p>
            <w:pPr>
              <w:pStyle w:val="Compact"/>
              <w:spacing w:line="240" w:lineRule="auto"/>
              <w:ind w:firstLine="0"/>
              <w:jc w:val="left"/>
            </w:pPr>
            <w:r>
              <w:rPr>
                <w:rFonts w:ascii="Times New Roman" w:hAnsi="Times New Roman"/>
                <w:sz w:val="22"/>
              </w:rPr>
              <w:t xml:space="preserve">Bedside RN</w:t>
            </w:r>
          </w:p>
        </w:tc>
        <w:tc>
          <w:tcPr/>
          <w:p>
            <w:pPr>
              <w:pStyle w:val="Compact"/>
              <w:spacing w:line="240" w:lineRule="auto"/>
              <w:ind w:firstLine="0"/>
              <w:jc w:val="left"/>
            </w:pPr>
            <w:r>
              <w:rPr>
                <w:rFonts w:ascii="Times New Roman" w:hAnsi="Times New Roman"/>
                <w:sz w:val="22"/>
              </w:rPr>
              <w:t xml:space="preserve">Advanced practice nurse (NP or nurse leader)</w:t>
            </w:r>
          </w:p>
        </w:tc>
      </w:tr>
      <w:tr>
        <w:tc>
          <w:tcPr/>
          <w:p>
            <w:pPr>
              <w:pStyle w:val="Compact"/>
              <w:spacing w:line="240" w:lineRule="auto"/>
              <w:ind w:firstLine="0"/>
              <w:jc w:val="left"/>
            </w:pPr>
            <w:r>
              <w:rPr>
                <w:rFonts w:ascii="Times New Roman" w:hAnsi="Times New Roman"/>
                <w:sz w:val="22"/>
              </w:rPr>
              <w:t xml:space="preserve">Focus of decisions</w:t>
            </w:r>
          </w:p>
        </w:tc>
        <w:tc>
          <w:tcPr/>
          <w:p>
            <w:pPr>
              <w:pStyle w:val="Compact"/>
              <w:spacing w:line="240" w:lineRule="auto"/>
              <w:ind w:firstLine="0"/>
              <w:jc w:val="left"/>
            </w:pPr>
            <w:r>
              <w:rPr>
                <w:rFonts w:ascii="Times New Roman" w:hAnsi="Times New Roman"/>
                <w:sz w:val="22"/>
              </w:rPr>
              <w:t xml:space="preserve">Individual patient during a shift</w:t>
            </w:r>
          </w:p>
        </w:tc>
        <w:tc>
          <w:tcPr/>
          <w:p>
            <w:pPr>
              <w:pStyle w:val="Compact"/>
              <w:spacing w:line="240" w:lineRule="auto"/>
              <w:ind w:firstLine="0"/>
              <w:jc w:val="left"/>
            </w:pPr>
            <w:r>
              <w:rPr>
                <w:rFonts w:ascii="Times New Roman" w:hAnsi="Times New Roman"/>
                <w:sz w:val="22"/>
              </w:rPr>
              <w:t xml:space="preserve">Diagnosis and long-term management (NP); units, systems and policies (leader)</w:t>
            </w:r>
          </w:p>
        </w:tc>
      </w:tr>
      <w:tr>
        <w:tc>
          <w:tcPr/>
          <w:p>
            <w:pPr>
              <w:pStyle w:val="Compact"/>
              <w:spacing w:line="240" w:lineRule="auto"/>
              <w:ind w:firstLine="0"/>
              <w:jc w:val="left"/>
            </w:pPr>
            <w:r>
              <w:rPr>
                <w:rFonts w:ascii="Times New Roman" w:hAnsi="Times New Roman"/>
                <w:sz w:val="22"/>
              </w:rPr>
              <w:t xml:space="preserve">Source of authority</w:t>
            </w:r>
          </w:p>
        </w:tc>
        <w:tc>
          <w:tcPr/>
          <w:p>
            <w:pPr>
              <w:pStyle w:val="Compact"/>
              <w:spacing w:line="240" w:lineRule="auto"/>
              <w:ind w:firstLine="0"/>
              <w:jc w:val="left"/>
            </w:pPr>
            <w:r>
              <w:rPr>
                <w:rFonts w:ascii="Times New Roman" w:hAnsi="Times New Roman"/>
                <w:sz w:val="22"/>
              </w:rPr>
              <w:t xml:space="preserve">Provider orders, protocols and nursing scope</w:t>
            </w:r>
          </w:p>
        </w:tc>
        <w:tc>
          <w:tcPr/>
          <w:p>
            <w:pPr>
              <w:pStyle w:val="Compact"/>
              <w:spacing w:line="240" w:lineRule="auto"/>
              <w:ind w:firstLine="0"/>
              <w:jc w:val="left"/>
            </w:pPr>
            <w:r>
              <w:rPr>
                <w:rFonts w:ascii="Times New Roman" w:hAnsi="Times New Roman"/>
                <w:sz w:val="22"/>
              </w:rPr>
              <w:t xml:space="preserve">Prescriptive authority (NP); organizational authority (leader)</w:t>
            </w:r>
          </w:p>
        </w:tc>
      </w:tr>
      <w:tr>
        <w:tc>
          <w:tcPr/>
          <w:p>
            <w:pPr>
              <w:pStyle w:val="Compact"/>
              <w:spacing w:line="240" w:lineRule="auto"/>
              <w:ind w:firstLine="0"/>
              <w:jc w:val="left"/>
            </w:pPr>
            <w:r>
              <w:rPr>
                <w:rFonts w:ascii="Times New Roman" w:hAnsi="Times New Roman"/>
                <w:sz w:val="22"/>
              </w:rPr>
              <w:t xml:space="preserve">Reasoning emphasis</w:t>
            </w:r>
          </w:p>
        </w:tc>
        <w:tc>
          <w:tcPr/>
          <w:p>
            <w:pPr>
              <w:pStyle w:val="Compact"/>
              <w:spacing w:line="240" w:lineRule="auto"/>
              <w:ind w:firstLine="0"/>
              <w:jc w:val="left"/>
            </w:pPr>
            <w:r>
              <w:rPr>
                <w:rFonts w:ascii="Times New Roman" w:hAnsi="Times New Roman"/>
                <w:sz w:val="22"/>
              </w:rPr>
              <w:t xml:space="preserve">Recognizing cues, prioritizing and escalating</w:t>
            </w:r>
          </w:p>
        </w:tc>
        <w:tc>
          <w:tcPr/>
          <w:p>
            <w:pPr>
              <w:pStyle w:val="Compact"/>
              <w:spacing w:line="240" w:lineRule="auto"/>
              <w:ind w:firstLine="0"/>
              <w:jc w:val="left"/>
            </w:pPr>
            <w:r>
              <w:rPr>
                <w:rFonts w:ascii="Times New Roman" w:hAnsi="Times New Roman"/>
                <w:sz w:val="22"/>
              </w:rPr>
              <w:t xml:space="preserve">Differential diagnosis, risk-benefit analysis, evidence appraisal, population and financial outcomes</w:t>
            </w:r>
          </w:p>
        </w:tc>
      </w:tr>
      <w:tr>
        <w:tc>
          <w:tcPr/>
          <w:p>
            <w:pPr>
              <w:pStyle w:val="Compact"/>
              <w:spacing w:line="240" w:lineRule="auto"/>
              <w:ind w:firstLine="0"/>
              <w:jc w:val="left"/>
            </w:pPr>
            <w:r>
              <w:rPr>
                <w:rFonts w:ascii="Times New Roman" w:hAnsi="Times New Roman"/>
                <w:sz w:val="22"/>
              </w:rPr>
              <w:t xml:space="preserve">Leadership</w:t>
            </w:r>
          </w:p>
        </w:tc>
        <w:tc>
          <w:tcPr/>
          <w:p>
            <w:pPr>
              <w:pStyle w:val="Compact"/>
              <w:spacing w:line="240" w:lineRule="auto"/>
              <w:ind w:firstLine="0"/>
              <w:jc w:val="left"/>
            </w:pPr>
            <w:r>
              <w:rPr>
                <w:rFonts w:ascii="Times New Roman" w:hAnsi="Times New Roman"/>
                <w:sz w:val="22"/>
              </w:rPr>
              <w:t xml:space="preserve">Informal leadership and patient advocacy</w:t>
            </w:r>
          </w:p>
        </w:tc>
        <w:tc>
          <w:tcPr/>
          <w:p>
            <w:pPr>
              <w:pStyle w:val="Compact"/>
              <w:spacing w:line="240" w:lineRule="auto"/>
              <w:ind w:firstLine="0"/>
              <w:jc w:val="left"/>
            </w:pPr>
            <w:r>
              <w:rPr>
                <w:rFonts w:ascii="Times New Roman" w:hAnsi="Times New Roman"/>
                <w:sz w:val="22"/>
              </w:rPr>
              <w:t xml:space="preserve">Formal, transformational leadership and change management</w:t>
            </w:r>
          </w:p>
        </w:tc>
      </w:tr>
      <w:tr>
        <w:tc>
          <w:tcPr/>
          <w:p>
            <w:pPr>
              <w:pStyle w:val="Compact"/>
              <w:spacing w:line="240" w:lineRule="auto"/>
              <w:ind w:firstLine="0"/>
              <w:jc w:val="left"/>
            </w:pPr>
            <w:r>
              <w:rPr>
                <w:rFonts w:ascii="Times New Roman" w:hAnsi="Times New Roman"/>
                <w:sz w:val="22"/>
              </w:rPr>
              <w:t xml:space="preserve">Accountability</w:t>
            </w:r>
          </w:p>
        </w:tc>
        <w:tc>
          <w:tcPr/>
          <w:p>
            <w:pPr>
              <w:pStyle w:val="Compact"/>
              <w:spacing w:line="240" w:lineRule="auto"/>
              <w:ind w:firstLine="0"/>
              <w:jc w:val="left"/>
            </w:pPr>
            <w:r>
              <w:rPr>
                <w:rFonts w:ascii="Times New Roman" w:hAnsi="Times New Roman"/>
                <w:sz w:val="22"/>
              </w:rPr>
              <w:t xml:space="preserve">Nursing practice standards</w:t>
            </w:r>
          </w:p>
        </w:tc>
        <w:tc>
          <w:tcPr/>
          <w:p>
            <w:pPr>
              <w:pStyle w:val="Compact"/>
              <w:spacing w:line="240" w:lineRule="auto"/>
              <w:ind w:firstLine="0"/>
              <w:jc w:val="left"/>
            </w:pPr>
            <w:r>
              <w:rPr>
                <w:rFonts w:ascii="Times New Roman" w:hAnsi="Times New Roman"/>
                <w:sz w:val="22"/>
              </w:rPr>
              <w:t xml:space="preserve">Broader legal liability and organizational outcomes</w:t>
            </w:r>
          </w:p>
        </w:tc>
      </w:tr>
    </w:tbl>
    <w:p>
      <w:pPr>
        <w:pStyle w:val="BodyText"/>
        <w:spacing w:line="480" w:lineRule="auto" w:before="0" w:after="0"/>
        <w:ind w:firstLine="720"/>
      </w:pPr>
      <w:r>
        <w:rPr>
          <w:rFonts w:ascii="Times New Roman" w:hAnsi="Times New Roman"/>
          <w:sz w:val="24"/>
        </w:rPr>
        <w:t xml:space="preserve">The AACN</w:t>
      </w:r>
      <w:r>
        <w:rPr>
          <w:rFonts w:ascii="Times New Roman" w:hAnsi="Times New Roman"/>
          <w:sz w:val="24"/>
        </w:rPr>
        <w:t xml:space="preserve"> </w:t>
      </w:r>
      <w:r>
        <w:rPr>
          <w:iCs/>
          <w:rFonts w:ascii="Times New Roman" w:hAnsi="Times New Roman"/>
          <w:i/>
          <w:sz w:val="24"/>
        </w:rPr>
        <w:t xml:space="preserve">Essentials</w:t>
      </w:r>
      <w:r>
        <w:rPr>
          <w:rFonts w:ascii="Times New Roman" w:hAnsi="Times New Roman"/>
          <w:sz w:val="24"/>
        </w:rPr>
        <w:t xml:space="preserve"> </w:t>
      </w:r>
      <w:r>
        <w:rPr>
          <w:rFonts w:ascii="Times New Roman" w:hAnsi="Times New Roman"/>
          <w:sz w:val="24"/>
        </w:rPr>
        <w:t xml:space="preserve">reflects this progression by distinguishing entry-level from advanced-level competencies in domains such as systems-based practice, quality and safety, and leadership (American Association of Colleges of Nursing [AACN], 2021). Bedside nurses lead informally by coordinating care and speaking up for patients; APNs must also lead formally. Transformational leadership, in which leaders share a vision, inspire and develop staff, is particularly important. A systematic review linked transformational leadership in nursing to a stronger patient safety culture and, in several studies, fewer adverse events such as medication errors and falls, although blame culture still discouraged error reporting (Ystaas et al., 2023). A nurse manager introducing a fall-prevention protocol, for example, would share fall data, involve frontline nurses in its design and coach staff rather than simply issue a policy.</w:t>
      </w:r>
    </w:p>
    <w:bookmarkEnd w:id="21"/>
    <w:bookmarkStart w:id="24" w:name="Xf9f250ba288806a04e447467c591bf22249b9d4"/>
    <w:p>
      <w:pPr>
        <w:pStyle w:val="Heading2"/>
        <w:spacing w:line="480" w:lineRule="auto" w:before="0" w:after="0"/>
        <w:jc w:val="center"/>
      </w:pPr>
      <w:r>
        <w:rPr>
          <w:rFonts w:ascii="Times New Roman" w:hAnsi="Times New Roman"/>
          <w:b/>
          <w:i w:val="0"/>
          <w:sz w:val="24"/>
        </w:rPr>
        <w:t xml:space="preserve">Critical Decision-Making Skills for Future Roles</w:t>
      </w:r>
    </w:p>
    <w:bookmarkStart w:id="22" w:name="nurse-practitioners"/>
    <w:p>
      <w:pPr>
        <w:pStyle w:val="Heading3"/>
        <w:spacing w:line="480" w:lineRule="auto" w:before="0" w:after="0"/>
      </w:pPr>
      <w:r>
        <w:rPr>
          <w:rFonts w:ascii="Times New Roman" w:hAnsi="Times New Roman"/>
          <w:b/>
          <w:i w:val="0"/>
          <w:sz w:val="24"/>
        </w:rPr>
        <w:t xml:space="preserve">Nurse Practitioners</w:t>
      </w:r>
    </w:p>
    <w:p>
      <w:pPr>
        <w:pStyle w:val="FirstParagraph"/>
        <w:spacing w:line="480" w:lineRule="auto" w:before="0" w:after="0"/>
        <w:ind w:firstLine="720"/>
      </w:pPr>
      <w:r>
        <w:rPr>
          <w:rFonts w:ascii="Times New Roman" w:hAnsi="Times New Roman"/>
          <w:sz w:val="24"/>
        </w:rPr>
        <w:t xml:space="preserve">For NPs, the most critical skills are diagnostic reasoning with metacognition, guideline-concordant prescribing and shared decision-making. Diagnostic errors are a major source of preventable harm, so NPs must systematically generate differential diagnoses and recognize cognitive bias (Beebe et al., 2024). Prescribing requires integrating guidelines, such as the 2025 high blood pressure guideline’s risk-based treatment recommendations (Jones et al., 2025), with each patient’s comorbidities, costs and preferences. Shared decision-making honors the ethical principle of autonomy and improves adherence, and NPs must also practice within state scope and controlled substance laws.</w:t>
      </w:r>
    </w:p>
    <w:bookmarkEnd w:id="22"/>
    <w:bookmarkStart w:id="23" w:name="nurse-leaders"/>
    <w:p>
      <w:pPr>
        <w:pStyle w:val="Heading3"/>
        <w:spacing w:line="480" w:lineRule="auto" w:before="0" w:after="0"/>
      </w:pPr>
      <w:r>
        <w:rPr>
          <w:rFonts w:ascii="Times New Roman" w:hAnsi="Times New Roman"/>
          <w:b/>
          <w:i w:val="0"/>
          <w:sz w:val="24"/>
        </w:rPr>
        <w:t xml:space="preserve">Nurse Leaders</w:t>
      </w:r>
    </w:p>
    <w:p>
      <w:pPr>
        <w:pStyle w:val="FirstParagraph"/>
        <w:spacing w:line="480" w:lineRule="auto" w:before="0" w:after="0"/>
        <w:ind w:firstLine="720"/>
      </w:pPr>
      <w:r>
        <w:rPr>
          <w:rFonts w:ascii="Times New Roman" w:hAnsi="Times New Roman"/>
          <w:sz w:val="24"/>
        </w:rPr>
        <w:t xml:space="preserve">For nurse leaders, the most critical skills are systems thinking, data-driven decision-making, ethical resource allocation and change management. Deciding whether to approve overtime or close beds during a staffing shortage, for instance, requires weighing patient safety, staff burnout, regulations and cost, and leaders must translate policies such as value-based payment into unit practice.</w:t>
      </w:r>
    </w:p>
    <w:p>
      <w:pPr>
        <w:pStyle w:val="BodyText"/>
        <w:spacing w:line="480" w:lineRule="auto" w:before="0" w:after="0"/>
        <w:ind w:firstLine="720"/>
      </w:pPr>
      <w:r>
        <w:rPr>
          <w:rFonts w:ascii="Times New Roman" w:hAnsi="Times New Roman"/>
          <w:sz w:val="24"/>
        </w:rPr>
        <w:t xml:space="preserve">In both roles, a</w:t>
      </w:r>
      <w:r>
        <w:rPr>
          <w:rFonts w:ascii="Times New Roman" w:hAnsi="Times New Roman"/>
          <w:sz w:val="24"/>
        </w:rPr>
        <w:t xml:space="preserve"> </w:t>
      </w:r>
      <w:r>
        <w:rPr>
          <w:bCs/>
          <w:rFonts w:ascii="Times New Roman" w:hAnsi="Times New Roman"/>
          <w:b/>
          <w:sz w:val="24"/>
        </w:rPr>
        <w:t xml:space="preserve">multidimensional approach</w:t>
      </w:r>
      <w:r>
        <w:rPr>
          <w:rFonts w:ascii="Times New Roman" w:hAnsi="Times New Roman"/>
          <w:sz w:val="24"/>
        </w:rPr>
        <w:t xml:space="preserve"> </w:t>
      </w:r>
      <w:r>
        <w:rPr>
          <w:rFonts w:ascii="Times New Roman" w:hAnsi="Times New Roman"/>
          <w:sz w:val="24"/>
        </w:rPr>
        <w:t xml:space="preserve">that combines analytical reasoning, experience-informed intuition, evidence, patient values and ethical principles produces better outcomes than reliance on any single dimension.</w:t>
      </w:r>
    </w:p>
    <w:bookmarkEnd w:id="23"/>
    <w:bookmarkEnd w:id="24"/>
    <w:bookmarkStart w:id="25" w:name="X2f7f5788a99b679c8f061b33ea8f04f612aa534"/>
    <w:p>
      <w:pPr>
        <w:pStyle w:val="Heading2"/>
        <w:spacing w:line="480" w:lineRule="auto" w:before="0" w:after="0"/>
        <w:jc w:val="center"/>
      </w:pPr>
      <w:r>
        <w:rPr>
          <w:rFonts w:ascii="Times New Roman" w:hAnsi="Times New Roman"/>
          <w:b/>
          <w:i w:val="0"/>
          <w:sz w:val="24"/>
        </w:rPr>
        <w:t xml:space="preserve">Standardized Decision-Making Tool: The Scope of Nursing Practice Decision-Making Framework</w:t>
      </w:r>
    </w:p>
    <w:p>
      <w:pPr>
        <w:pStyle w:val="FirstParagraph"/>
        <w:spacing w:line="480" w:lineRule="auto" w:before="0" w:after="0"/>
        <w:ind w:firstLine="720"/>
      </w:pPr>
      <w:r>
        <w:rPr>
          <w:rFonts w:ascii="Times New Roman" w:hAnsi="Times New Roman"/>
          <w:sz w:val="24"/>
        </w:rPr>
        <w:t xml:space="preserve">The standardized tool developed to guide nurses at all levels is the</w:t>
      </w:r>
      <w:r>
        <w:rPr>
          <w:rFonts w:ascii="Times New Roman" w:hAnsi="Times New Roman"/>
          <w:sz w:val="24"/>
        </w:rPr>
        <w:t xml:space="preserve"> </w:t>
      </w:r>
      <w:r>
        <w:rPr>
          <w:bCs/>
          <w:rFonts w:ascii="Times New Roman" w:hAnsi="Times New Roman"/>
          <w:b/>
          <w:sz w:val="24"/>
        </w:rPr>
        <w:t xml:space="preserve">Scope of Nursing Practice Decision-Making Framework</w:t>
      </w:r>
      <w:r>
        <w:rPr>
          <w:rFonts w:ascii="Times New Roman" w:hAnsi="Times New Roman"/>
          <w:sz w:val="24"/>
        </w:rPr>
        <w:t xml:space="preserve">. In 2015, the Tri-Council for Nursing and NCSBN recognized that boards of nursing used many different decision trees, creating confusion for nurses who moved between states and employers, and developed a single framework that NCSBN adopted in 2016 and reaffirmed in 2022 (Ballard et al., 2016). Its purpose is to help nurses and employers determine whether a specific activity, intervention or role is within an individual nurse’s scope. After describing the activity, the nurse asks whether it is prohibited by the nurse practice act or other laws and standards; whether it is consistent with evidence; whether setting policies support it; whether the nurse has the necessary education and documented current competence; whether resources are available; whether a reasonable and prudent nurse would perform it; and whether the nurse is prepared to accept accountability for its outcomes (Ballard et al., 2016). If any answer does not support the activity, the nurse stops. Because the same questions apply in any setting, licensure level or state, the framework standardizes decision-making while respecting each jurisdiction’s laws.</w:t>
      </w:r>
    </w:p>
    <w:p>
      <w:pPr>
        <w:pStyle w:val="BodyText"/>
        <w:spacing w:line="480" w:lineRule="auto" w:before="0" w:after="0"/>
        <w:ind w:firstLine="720"/>
      </w:pPr>
      <w:r>
        <w:rPr>
          <w:rFonts w:ascii="Times New Roman" w:hAnsi="Times New Roman"/>
          <w:sz w:val="24"/>
        </w:rPr>
        <w:t xml:space="preserve">As a future NP, I would apply the framework before adding a new procedure, such as joint injections in a primary care clinic: I would confirm that state law and board rules permit it, review evidence-based technique and indications, ensure the clinic has a credentialing policy, complete supervised training with documented competence and accept accountability for managing complications. As a nurse leader, I would use it to evaluate role changes, such as a proposal for licensed practical nurses to initiate IV therapy, by checking state law, training, policies and resources.</w:t>
      </w:r>
    </w:p>
    <w:bookmarkEnd w:id="25"/>
    <w:bookmarkStart w:id="28" w:name="Xabcbafc287a4d9f970a8cdc2a4bb68e246c58d2"/>
    <w:p>
      <w:pPr>
        <w:pStyle w:val="Heading2"/>
        <w:spacing w:line="480" w:lineRule="auto" w:before="0" w:after="0"/>
        <w:jc w:val="center"/>
      </w:pPr>
      <w:r>
        <w:rPr>
          <w:rFonts w:ascii="Times New Roman" w:hAnsi="Times New Roman"/>
          <w:b/>
          <w:i w:val="0"/>
          <w:sz w:val="24"/>
        </w:rPr>
        <w:t xml:space="preserve">Additional Tools and the Consensus Model for APRNs</w:t>
      </w:r>
    </w:p>
    <w:bookmarkStart w:id="26" w:name="other-standardized-tools"/>
    <w:p>
      <w:pPr>
        <w:pStyle w:val="Heading3"/>
        <w:spacing w:line="480" w:lineRule="auto" w:before="0" w:after="0"/>
      </w:pPr>
      <w:r>
        <w:rPr>
          <w:rFonts w:ascii="Times New Roman" w:hAnsi="Times New Roman"/>
          <w:b/>
          <w:i w:val="0"/>
          <w:sz w:val="24"/>
        </w:rPr>
        <w:t xml:space="preserve">Other Standardized Tools</w:t>
      </w:r>
    </w:p>
    <w:p>
      <w:pPr>
        <w:pStyle w:val="FirstParagraph"/>
        <w:spacing w:line="480" w:lineRule="auto" w:before="0" w:after="0"/>
        <w:ind w:firstLine="720"/>
      </w:pPr>
      <w:r>
        <w:rPr>
          <w:rFonts w:ascii="Times New Roman" w:hAnsi="Times New Roman"/>
          <w:sz w:val="24"/>
        </w:rPr>
        <w:t xml:space="preserve">APNs also use evidence-based clinical practice guidelines (Jones et al., 2025); clinical decision rules and risk calculators, such as the Ottawa ankle rules and the Wells criteria; clinical decision support systems (CDSS) in electronic health records; clinical judgment and diagnostic reasoning models (Beebe et al., 2024; Dickison et al., 2019); and ethical decision-making frameworks based on autonomy, beneficence, nonmaleficence and justice. These tools are</w:t>
      </w:r>
      <w:r>
        <w:rPr>
          <w:rFonts w:ascii="Times New Roman" w:hAnsi="Times New Roman"/>
          <w:sz w:val="24"/>
        </w:rPr>
        <w:t xml:space="preserve"> </w:t>
      </w:r>
      <w:r>
        <w:rPr>
          <w:bCs/>
          <w:rFonts w:ascii="Times New Roman" w:hAnsi="Times New Roman"/>
          <w:b/>
          <w:sz w:val="24"/>
        </w:rPr>
        <w:t xml:space="preserve">not used consistently across settings</w:t>
      </w:r>
      <w:r>
        <w:rPr>
          <w:rFonts w:ascii="Times New Roman" w:hAnsi="Times New Roman"/>
          <w:sz w:val="24"/>
        </w:rPr>
        <w:t xml:space="preserve">. Large systems embed them in CDSS, while small and rural practices may lack access; alert fatigue leads clinicians to override warnings; guidelines may not fit patients with multiple chronic conditions; and some risk tools were developed in populations that do not reflect today’s diverse patients. Their rationale remains strong, since they reduce unwarranted variation and embed current evidence, but they support rather than replace clinical judgment, and NPs should document when and why they deviate.</w:t>
      </w:r>
    </w:p>
    <w:bookmarkEnd w:id="26"/>
    <w:bookmarkStart w:id="27" w:name="the-consensus-model-for-aprn-regulation"/>
    <w:p>
      <w:pPr>
        <w:pStyle w:val="Heading3"/>
        <w:spacing w:line="480" w:lineRule="auto" w:before="0" w:after="0"/>
      </w:pPr>
      <w:r>
        <w:rPr>
          <w:rFonts w:ascii="Times New Roman" w:hAnsi="Times New Roman"/>
          <w:b/>
          <w:i w:val="0"/>
          <w:sz w:val="24"/>
        </w:rPr>
        <w:t xml:space="preserve">The Consensus Model for APRN Regulation</w:t>
      </w:r>
    </w:p>
    <w:p>
      <w:pPr>
        <w:pStyle w:val="FirstParagraph"/>
        <w:spacing w:line="480" w:lineRule="auto" w:before="0" w:after="0"/>
        <w:ind w:firstLine="720"/>
      </w:pPr>
      <w:r>
        <w:rPr>
          <w:rFonts w:ascii="Times New Roman" w:hAnsi="Times New Roman"/>
          <w:sz w:val="24"/>
        </w:rPr>
        <w:t xml:space="preserve">The</w:t>
      </w:r>
      <w:r>
        <w:rPr>
          <w:rFonts w:ascii="Times New Roman" w:hAnsi="Times New Roman"/>
          <w:sz w:val="24"/>
        </w:rPr>
        <w:t xml:space="preserve"> </w:t>
      </w:r>
      <w:r>
        <w:rPr>
          <w:bCs/>
          <w:rFonts w:ascii="Times New Roman" w:hAnsi="Times New Roman"/>
          <w:b/>
          <w:sz w:val="24"/>
        </w:rPr>
        <w:t xml:space="preserve">Consensus Model for APRN Regulation</w:t>
      </w:r>
      <w:r>
        <w:rPr>
          <w:rFonts w:ascii="Times New Roman" w:hAnsi="Times New Roman"/>
          <w:sz w:val="24"/>
        </w:rPr>
        <w:t xml:space="preserve">, finalized in 2008, was developed to create uniform APRN regulation across states (APRN Consensus Work Group &amp; NCSBN APRN Advisory Committee, 2008). It defines four roles (certified nurse practitioner, certified registered nurse anesthetist, certified nurse-midwife and clinical nurse specialist) and six population foci (family/individual across the lifespan, adult-gerontology, neonatal, pediatrics, women’s health/gender-related and psychiatric-mental health), and it aligns licensure, accreditation, certification and education (LACE) so that APRNs are educated, certified and licensed in the same role and population.</w:t>
      </w:r>
    </w:p>
    <w:p>
      <w:pPr>
        <w:pStyle w:val="BodyText"/>
        <w:spacing w:line="480" w:lineRule="auto" w:before="0" w:after="0"/>
        <w:ind w:firstLine="720"/>
      </w:pPr>
      <w:r>
        <w:rPr>
          <w:rFonts w:ascii="Times New Roman" w:hAnsi="Times New Roman"/>
          <w:sz w:val="24"/>
        </w:rPr>
        <w:t xml:space="preserve">The model informs decision-making by</w:t>
      </w:r>
      <w:r>
        <w:rPr>
          <w:rFonts w:ascii="Times New Roman" w:hAnsi="Times New Roman"/>
          <w:sz w:val="24"/>
        </w:rPr>
        <w:t xml:space="preserve"> </w:t>
      </w:r>
      <w:r>
        <w:rPr>
          <w:bCs/>
          <w:rFonts w:ascii="Times New Roman" w:hAnsi="Times New Roman"/>
          <w:b/>
          <w:sz w:val="24"/>
        </w:rPr>
        <w:t xml:space="preserve">defining boundaries</w:t>
      </w:r>
      <w:r>
        <w:rPr>
          <w:rFonts w:ascii="Times New Roman" w:hAnsi="Times New Roman"/>
          <w:sz w:val="24"/>
        </w:rPr>
        <w:t xml:space="preserve">, such as guiding an adult-gerontology primary care NP to refer rather than independently manage a child or a critically ill inpatient; by</w:t>
      </w:r>
      <w:r>
        <w:rPr>
          <w:rFonts w:ascii="Times New Roman" w:hAnsi="Times New Roman"/>
          <w:sz w:val="24"/>
        </w:rPr>
        <w:t xml:space="preserve"> </w:t>
      </w:r>
      <w:r>
        <w:rPr>
          <w:bCs/>
          <w:rFonts w:ascii="Times New Roman" w:hAnsi="Times New Roman"/>
          <w:b/>
          <w:sz w:val="24"/>
        </w:rPr>
        <w:t xml:space="preserve">protecting patient safety</w:t>
      </w:r>
      <w:r>
        <w:rPr>
          <w:rFonts w:ascii="Times New Roman" w:hAnsi="Times New Roman"/>
          <w:sz w:val="24"/>
        </w:rPr>
        <w:t xml:space="preserve"> </w:t>
      </w:r>
      <w:r>
        <w:rPr>
          <w:rFonts w:ascii="Times New Roman" w:hAnsi="Times New Roman"/>
          <w:sz w:val="24"/>
        </w:rPr>
        <w:t xml:space="preserve">through matched education and certification; and by</w:t>
      </w:r>
      <w:r>
        <w:rPr>
          <w:rFonts w:ascii="Times New Roman" w:hAnsi="Times New Roman"/>
          <w:sz w:val="24"/>
        </w:rPr>
        <w:t xml:space="preserve"> </w:t>
      </w:r>
      <w:r>
        <w:rPr>
          <w:bCs/>
          <w:rFonts w:ascii="Times New Roman" w:hAnsi="Times New Roman"/>
          <w:b/>
          <w:sz w:val="24"/>
        </w:rPr>
        <w:t xml:space="preserve">shaping practice authority</w:t>
      </w:r>
      <w:r>
        <w:rPr>
          <w:rFonts w:ascii="Times New Roman" w:hAnsi="Times New Roman"/>
          <w:sz w:val="24"/>
        </w:rPr>
        <w:t xml:space="preserve">, since it recommends independent practice and NCSBN (2024) tracks states’ uneven progress toward full implementation. Because implementation varies, NPs must know their state’s laws, which determine decisions such as whether a collaborative agreement is required to prescribe controlled substances.</w:t>
      </w:r>
    </w:p>
    <w:bookmarkEnd w:id="27"/>
    <w:bookmarkEnd w:id="28"/>
    <w:bookmarkStart w:id="29" w:name="conclusion"/>
    <w:p>
      <w:pPr>
        <w:pStyle w:val="Heading2"/>
        <w:spacing w:line="480" w:lineRule="auto" w:before="0" w:after="0"/>
        <w:jc w:val="center"/>
      </w:pPr>
      <w:r>
        <w:rPr>
          <w:rFonts w:ascii="Times New Roman" w:hAnsi="Times New Roman"/>
          <w:b/>
          <w:i w:val="0"/>
          <w:sz w:val="24"/>
        </w:rPr>
        <w:t xml:space="preserve">Conclusion</w:t>
      </w:r>
    </w:p>
    <w:p>
      <w:pPr>
        <w:pStyle w:val="FirstParagraph"/>
        <w:spacing w:line="480" w:lineRule="auto" w:before="0" w:after="0"/>
        <w:ind w:firstLine="720"/>
      </w:pPr>
      <w:r>
        <w:rPr>
          <w:rFonts w:ascii="Times New Roman" w:hAnsi="Times New Roman"/>
          <w:sz w:val="24"/>
        </w:rPr>
        <w:t xml:space="preserve">Moving from the bedside to advanced practice transforms clinical decision-making from recognizing and responding within a provider’s plan to independently diagnosing, prescribing and leading change. It requires metacognitive diagnostic reasoning, evidence-based prescribing, systems thinking and transformational leadership. Standardized tools, including the Scope of Nursing Practice Decision-Making Framework, guidelines, decision rules and CDSS, promote consistent and defensible decisions, although they must be adapted to individual patients and are unevenly available. The Consensus Model defines the roles and population foci that set the legal and educational boundaries of advanced practice. Legal requirements, ethical principles and health policy shape every advanced practice decision, and integrating them with multidimensional decision-making and transformational leadership will allow me to lead changes that improve patient outcomes.</w:t>
      </w:r>
    </w:p>
    <w:p>
      <w:pPr>
        <w:pStyle w:val="Title"/>
        <w:pageBreakBefore/>
        <w:spacing w:line="480" w:lineRule="auto" w:before="0" w:after="0"/>
        <w:jc w:val="center"/>
      </w:pPr>
      <w:r>
        <w:rPr>
          <w:bCs/>
          <w:rFonts w:ascii="Times New Roman" w:hAnsi="Times New Roman"/>
          <w:b/>
          <w:sz w:val="24"/>
        </w:rPr>
        <w:t xml:space="preserve">References</w:t>
      </w:r>
    </w:p>
    <w:p>
      <w:pPr>
        <w:pStyle w:val="Ref"/>
        <w:spacing w:line="480" w:lineRule="auto" w:before="0" w:after="0"/>
        <w:ind w:left="720" w:hanging="720"/>
      </w:pPr>
      <w:r>
        <w:rPr>
          <w:rFonts w:ascii="Times New Roman" w:hAnsi="Times New Roman"/>
          <w:sz w:val="24"/>
        </w:rPr>
        <w:t xml:space="preserve">American Association of Colleges of Nursing. (2021).</w:t>
      </w:r>
      <w:r>
        <w:rPr>
          <w:rFonts w:ascii="Times New Roman" w:hAnsi="Times New Roman"/>
          <w:sz w:val="24"/>
        </w:rPr>
        <w:t xml:space="preserve"> </w:t>
      </w:r>
      <w:r>
        <w:rPr>
          <w:iCs/>
          <w:rFonts w:ascii="Times New Roman" w:hAnsi="Times New Roman"/>
          <w:i/>
          <w:sz w:val="24"/>
        </w:rPr>
        <w:t xml:space="preserve">The essentials: Core competencies for professional nursing education</w:t>
      </w:r>
      <w:r>
        <w:rPr>
          <w:rFonts w:ascii="Times New Roman" w:hAnsi="Times New Roman"/>
          <w:sz w:val="24"/>
        </w:rPr>
        <w:t xml:space="preserve">. https://www.aacnnursing.org/Portals/0/PDFs/Publications/Essentials-2021.pdf</w:t>
      </w:r>
    </w:p>
    <w:p>
      <w:pPr>
        <w:pStyle w:val="Ref"/>
        <w:spacing w:line="480" w:lineRule="auto" w:before="0" w:after="0"/>
        <w:ind w:left="720" w:hanging="720"/>
      </w:pPr>
      <w:r>
        <w:rPr>
          <w:rFonts w:ascii="Times New Roman" w:hAnsi="Times New Roman"/>
          <w:sz w:val="24"/>
        </w:rPr>
        <w:t xml:space="preserve">APRN Consensus Work Group &amp; National Council of State Boards of Nursing APRN Advisory Committee. (2008).</w:t>
      </w:r>
      <w:r>
        <w:rPr>
          <w:rFonts w:ascii="Times New Roman" w:hAnsi="Times New Roman"/>
          <w:sz w:val="24"/>
        </w:rPr>
        <w:t xml:space="preserve"> </w:t>
      </w:r>
      <w:r>
        <w:rPr>
          <w:iCs/>
          <w:rFonts w:ascii="Times New Roman" w:hAnsi="Times New Roman"/>
          <w:i/>
          <w:sz w:val="24"/>
        </w:rPr>
        <w:t xml:space="preserve">Consensus model for APRN regulation: Licensure, accreditation, certification &amp; education</w:t>
      </w:r>
      <w:r>
        <w:rPr>
          <w:rFonts w:ascii="Times New Roman" w:hAnsi="Times New Roman"/>
          <w:sz w:val="24"/>
        </w:rPr>
        <w:t xml:space="preserve">. https://www.ncsbn.org/public-files/Consensus_Model_for_APRN_Regulation_July_2008.pdf</w:t>
      </w:r>
    </w:p>
    <w:p>
      <w:pPr>
        <w:pStyle w:val="Ref"/>
        <w:spacing w:line="480" w:lineRule="auto" w:before="0" w:after="0"/>
        <w:ind w:left="720" w:hanging="720"/>
      </w:pPr>
      <w:r>
        <w:rPr>
          <w:rFonts w:ascii="Times New Roman" w:hAnsi="Times New Roman"/>
          <w:sz w:val="24"/>
        </w:rPr>
        <w:t xml:space="preserve">Ballard, K., Haagenson, D., Christiansen, L., Damgaard, G., Halstead, J. A., Jason, R. R., Joyner, J. C., O’Sullivan, A. M., Silvestre, J., Cahill, M., Radtke, B., &amp; Alexander, M. (2016). Scope of nursing practice decision-making framework.</w:t>
      </w:r>
      <w:r>
        <w:rPr>
          <w:rFonts w:ascii="Times New Roman" w:hAnsi="Times New Roman"/>
          <w:sz w:val="24"/>
        </w:rPr>
        <w:t xml:space="preserve"> </w:t>
      </w:r>
      <w:r>
        <w:rPr>
          <w:iCs/>
          <w:rFonts w:ascii="Times New Roman" w:hAnsi="Times New Roman"/>
          <w:i/>
          <w:sz w:val="24"/>
        </w:rPr>
        <w:t xml:space="preserve">Journal of Nursing Regulation, 7</w:t>
      </w:r>
      <w:r>
        <w:rPr>
          <w:rFonts w:ascii="Times New Roman" w:hAnsi="Times New Roman"/>
          <w:sz w:val="24"/>
        </w:rPr>
        <w:t xml:space="preserve">(3), 19–21. https://www.ncsbn.org/decision-making-framework.htm</w:t>
      </w:r>
    </w:p>
    <w:p>
      <w:pPr>
        <w:pStyle w:val="Ref"/>
        <w:spacing w:line="480" w:lineRule="auto" w:before="0" w:after="0"/>
        <w:ind w:left="720" w:hanging="720"/>
      </w:pPr>
      <w:r>
        <w:rPr>
          <w:rFonts w:ascii="Times New Roman" w:hAnsi="Times New Roman"/>
          <w:sz w:val="24"/>
        </w:rPr>
        <w:t xml:space="preserve">Beebe, S. L., McNelis, A. M., El-Banna, M., &amp; Dreifuerst, K. T. (2024). Reflecting on diagnosis: The Metacognitive Diagnostic Reasoning Model©.</w:t>
      </w:r>
      <w:r>
        <w:rPr>
          <w:rFonts w:ascii="Times New Roman" w:hAnsi="Times New Roman"/>
          <w:sz w:val="24"/>
        </w:rPr>
        <w:t xml:space="preserve"> </w:t>
      </w:r>
      <w:r>
        <w:rPr>
          <w:iCs/>
          <w:rFonts w:ascii="Times New Roman" w:hAnsi="Times New Roman"/>
          <w:i/>
          <w:sz w:val="24"/>
        </w:rPr>
        <w:t xml:space="preserve">Journal of the American Association of Nurse Practitioners, 36</w:t>
      </w:r>
      <w:r>
        <w:rPr>
          <w:rFonts w:ascii="Times New Roman" w:hAnsi="Times New Roman"/>
          <w:sz w:val="24"/>
        </w:rPr>
        <w:t xml:space="preserve">(12), 711–718. https://doi.org/10.1097/JXX.0000000000001018</w:t>
      </w:r>
    </w:p>
    <w:p>
      <w:pPr>
        <w:pStyle w:val="Ref"/>
        <w:spacing w:line="480" w:lineRule="auto" w:before="0" w:after="0"/>
        <w:ind w:left="720" w:hanging="720"/>
      </w:pPr>
      <w:r>
        <w:rPr>
          <w:rFonts w:ascii="Times New Roman" w:hAnsi="Times New Roman"/>
          <w:sz w:val="24"/>
        </w:rPr>
        <w:t xml:space="preserve">Dickison, P., Haerling, K. A., &amp; Lasater, K. (2019). Integrating the National Council of State Boards of Nursing Clinical Judgment Model into nursing educational frameworks.</w:t>
      </w:r>
      <w:r>
        <w:rPr>
          <w:rFonts w:ascii="Times New Roman" w:hAnsi="Times New Roman"/>
          <w:sz w:val="24"/>
        </w:rPr>
        <w:t xml:space="preserve"> </w:t>
      </w:r>
      <w:r>
        <w:rPr>
          <w:iCs/>
          <w:rFonts w:ascii="Times New Roman" w:hAnsi="Times New Roman"/>
          <w:i/>
          <w:sz w:val="24"/>
        </w:rPr>
        <w:t xml:space="preserve">Journal of Nursing Education, 58</w:t>
      </w:r>
      <w:r>
        <w:rPr>
          <w:rFonts w:ascii="Times New Roman" w:hAnsi="Times New Roman"/>
          <w:sz w:val="24"/>
        </w:rPr>
        <w:t xml:space="preserve">(2), 72–78. https://doi.org/10.3928/01484834-20190122-03</w:t>
      </w:r>
    </w:p>
    <w:p>
      <w:pPr>
        <w:pStyle w:val="Ref"/>
        <w:spacing w:line="480" w:lineRule="auto" w:before="0" w:after="0"/>
        <w:ind w:left="720" w:hanging="720"/>
      </w:pPr>
      <w:r>
        <w:rPr>
          <w:rFonts w:ascii="Times New Roman" w:hAnsi="Times New Roman"/>
          <w:sz w:val="24"/>
        </w:rPr>
        <w:t xml:space="preserve">Jones, D. W., Ferdinand, K. C., Taler, S. J., Johnson, H. M., Shimbo, D., Abdalla, M., Altieri, M. M., Bansal, N., Bello, N. A., Bress, A. P., Carter, J., Cohen, J. B., Collins, K. J., Commodore-Mensah, Y., Davis, L. L., Egan, B., Khan, S. S., Lloyd-Jones, D. M., Melnyk, B. M., . . . Ziai, W. C. (2025). 2025 AHA/ACC/AANP/AAPA/ABC/ACCP/ACPM/AGS/AMA/ASPC/NMA/PCNA/SGIM guideline for the prevention, detection, evaluation and management of high blood pressure in adults.</w:t>
      </w:r>
      <w:r>
        <w:rPr>
          <w:rFonts w:ascii="Times New Roman" w:hAnsi="Times New Roman"/>
          <w:sz w:val="24"/>
        </w:rPr>
        <w:t xml:space="preserve"> </w:t>
      </w:r>
      <w:r>
        <w:rPr>
          <w:iCs/>
          <w:rFonts w:ascii="Times New Roman" w:hAnsi="Times New Roman"/>
          <w:i/>
          <w:sz w:val="24"/>
        </w:rPr>
        <w:t xml:space="preserve">Journal of the American College of Cardiology, 86</w:t>
      </w:r>
      <w:r>
        <w:rPr>
          <w:rFonts w:ascii="Times New Roman" w:hAnsi="Times New Roman"/>
          <w:sz w:val="24"/>
        </w:rPr>
        <w:t xml:space="preserve">(18), 1567–1678. https://doi.org/10.1016/j.jacc.2025.05.007</w:t>
      </w:r>
    </w:p>
    <w:p>
      <w:pPr>
        <w:pStyle w:val="Ref"/>
        <w:spacing w:line="480" w:lineRule="auto" w:before="0" w:after="0"/>
        <w:ind w:left="720" w:hanging="720"/>
      </w:pPr>
      <w:r>
        <w:rPr>
          <w:rFonts w:ascii="Times New Roman" w:hAnsi="Times New Roman"/>
          <w:sz w:val="24"/>
        </w:rPr>
        <w:t xml:space="preserve">National Academies of Sciences, Engineering, and Medicine. (2021).</w:t>
      </w:r>
      <w:r>
        <w:rPr>
          <w:rFonts w:ascii="Times New Roman" w:hAnsi="Times New Roman"/>
          <w:sz w:val="24"/>
        </w:rPr>
        <w:t xml:space="preserve"> </w:t>
      </w:r>
      <w:r>
        <w:rPr>
          <w:iCs/>
          <w:rFonts w:ascii="Times New Roman" w:hAnsi="Times New Roman"/>
          <w:i/>
          <w:sz w:val="24"/>
        </w:rPr>
        <w:t xml:space="preserve">The future of nursing 2020–2030: Charting a path to achieve health equity</w:t>
      </w:r>
      <w:r>
        <w:rPr>
          <w:rFonts w:ascii="Times New Roman" w:hAnsi="Times New Roman"/>
          <w:sz w:val="24"/>
        </w:rPr>
        <w:t xml:space="preserve">. The National Academies Press. https://doi.org/10.17226/25982</w:t>
      </w:r>
    </w:p>
    <w:p>
      <w:pPr>
        <w:pStyle w:val="Ref"/>
        <w:spacing w:line="480" w:lineRule="auto" w:before="0" w:after="0"/>
        <w:ind w:left="720" w:hanging="720"/>
      </w:pPr>
      <w:r>
        <w:rPr>
          <w:rFonts w:ascii="Times New Roman" w:hAnsi="Times New Roman"/>
          <w:sz w:val="24"/>
        </w:rPr>
        <w:t xml:space="preserve">National Council of State Boards of Nursing. (2024).</w:t>
      </w:r>
      <w:r>
        <w:rPr>
          <w:rFonts w:ascii="Times New Roman" w:hAnsi="Times New Roman"/>
          <w:sz w:val="24"/>
        </w:rPr>
        <w:t xml:space="preserve"> </w:t>
      </w:r>
      <w:r>
        <w:rPr>
          <w:iCs/>
          <w:rFonts w:ascii="Times New Roman" w:hAnsi="Times New Roman"/>
          <w:i/>
          <w:sz w:val="24"/>
        </w:rPr>
        <w:t xml:space="preserve">APRN Consensus Model implementation status</w:t>
      </w:r>
      <w:r>
        <w:rPr>
          <w:rFonts w:ascii="Times New Roman" w:hAnsi="Times New Roman"/>
          <w:sz w:val="24"/>
        </w:rPr>
        <w:t xml:space="preserve">. https://www.ncsbn.org/aprn-consensus-implementation-status</w:t>
      </w:r>
    </w:p>
    <w:p>
      <w:pPr>
        <w:pStyle w:val="Ref"/>
        <w:spacing w:line="480" w:lineRule="auto" w:before="0" w:after="0"/>
        <w:ind w:left="720" w:hanging="720"/>
      </w:pPr>
      <w:r>
        <w:rPr>
          <w:rFonts w:ascii="Times New Roman" w:hAnsi="Times New Roman"/>
          <w:sz w:val="24"/>
        </w:rPr>
        <w:t xml:space="preserve">Tanner, C. A. (2006). Thinking like a nurse: A research-based model of clinical judgment in nursing.</w:t>
      </w:r>
      <w:r>
        <w:rPr>
          <w:rFonts w:ascii="Times New Roman" w:hAnsi="Times New Roman"/>
          <w:sz w:val="24"/>
        </w:rPr>
        <w:t xml:space="preserve"> </w:t>
      </w:r>
      <w:r>
        <w:rPr>
          <w:iCs/>
          <w:rFonts w:ascii="Times New Roman" w:hAnsi="Times New Roman"/>
          <w:i/>
          <w:sz w:val="24"/>
        </w:rPr>
        <w:t xml:space="preserve">Journal of Nursing Education, 45</w:t>
      </w:r>
      <w:r>
        <w:rPr>
          <w:rFonts w:ascii="Times New Roman" w:hAnsi="Times New Roman"/>
          <w:sz w:val="24"/>
        </w:rPr>
        <w:t xml:space="preserve">(6), 204–211. https://doi.org/10.3928/01484834-20060601-04</w:t>
      </w:r>
    </w:p>
    <w:p>
      <w:pPr>
        <w:pStyle w:val="Ref"/>
        <w:spacing w:line="480" w:lineRule="auto" w:before="0" w:after="0"/>
        <w:ind w:left="720" w:hanging="720"/>
      </w:pPr>
      <w:r>
        <w:rPr>
          <w:rFonts w:ascii="Times New Roman" w:hAnsi="Times New Roman"/>
          <w:sz w:val="24"/>
        </w:rPr>
        <w:t xml:space="preserve">Ystaas, L. M. K., Nikitara, M., Ghobrial, S., Latzourakis, E., Polychronis, G., &amp; Constantinou, C. S. (2023). The impact of transformational leadership in the nursing work environment and patients’ outcomes: A systematic review.</w:t>
      </w:r>
      <w:r>
        <w:rPr>
          <w:rFonts w:ascii="Times New Roman" w:hAnsi="Times New Roman"/>
          <w:sz w:val="24"/>
        </w:rPr>
        <w:t xml:space="preserve"> </w:t>
      </w:r>
      <w:r>
        <w:rPr>
          <w:iCs/>
          <w:rFonts w:ascii="Times New Roman" w:hAnsi="Times New Roman"/>
          <w:i/>
          <w:sz w:val="24"/>
        </w:rPr>
        <w:t xml:space="preserve">Nursing Reports, 13</w:t>
      </w:r>
      <w:r>
        <w:rPr>
          <w:rFonts w:ascii="Times New Roman" w:hAnsi="Times New Roman"/>
          <w:sz w:val="24"/>
        </w:rPr>
        <w:t xml:space="preserve">(3), 1271–1290. https://doi.org/10.3390/nursrep13030108</w:t>
      </w:r>
    </w:p>
    <w:bookmarkEnd w:id="29"/>
    <w:sectPr>
      <w:headerReference w:type="default" r:id="rId9"/>
      <w:pgMar w:top="1440" w:bottom="1440" w:left="1440" w:right="144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fldChar w:fldCharType="begin"/>
      <w:instrText>PAGE</w:instrText>
      <w:fldChar w:fldCharType="end"/>
    </w:r>
  </w:p>
</w:hdr>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rPr>
      <w:rFonts w:ascii="Times New Roman" w:hAnsi="Times New Roman" w:cs="Times New Roman" w:eastAsia="Times New Roman"/>
      <w:sz w:val="24"/>
    </w:rPr>
  </w:style>
  <w:style w:styleId="BodyText" w:type="paragraph">
    <w:name w:val="Body Text"/>
    <w:basedOn w:val="Normal"/>
    <w:link w:val="BodyTextChar"/>
    <w:pPr>
      <w:spacing w:after="180" w:before="180"/>
    </w:pPr>
    <w:qFormat/>
    <w:rPr>
      <w:rFonts w:ascii="Times New Roman" w:hAnsi="Times New Roman" w:cs="Times New Roman" w:eastAsia="Times New Roman"/>
      <w:sz w:val="24"/>
    </w:rPr>
  </w:style>
  <w:style w:customStyle="1" w:styleId="FirstParagraph" w:type="paragraph">
    <w:name w:val="First Paragraph"/>
    <w:basedOn w:val="BodyText"/>
    <w:next w:val="BodyText"/>
    <w:qFormat/>
    <w:rPr>
      <w:rFonts w:ascii="Times New Roman" w:hAnsi="Times New Roman" w:cs="Times New Roman" w:eastAsia="Times New Roman"/>
      <w:sz w:val="24"/>
    </w:rPr>
  </w:style>
  <w:style w:customStyle="1" w:styleId="Compact" w:type="paragraph">
    <w:name w:val="Compact"/>
    <w:basedOn w:val="BodyText"/>
    <w:qFormat/>
    <w:pPr>
      <w:spacing w:after="36" w:before="36"/>
    </w:pPr>
    <w:rPr>
      <w:rFonts w:ascii="Times New Roman" w:hAnsi="Times New Roman" w:cs="Times New Roman" w:eastAsia="Times New Roman"/>
      <w:sz w:val="24"/>
    </w:r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ascii="Times New Roman" w:hAnsi="Times New Roman" w:cs="Times New Roman" w:eastAsia="Times New Roman"/>
      <w:b/>
      <w:bCs/>
      <w:sz w:val="24"/>
      <w:szCs w:val="36"/>
    </w:rPr>
  </w:style>
  <w:style w:styleId="Subtitle" w:type="paragraph">
    <w:name w:val="Subtitle"/>
    <w:basedOn w:val="Title"/>
    <w:next w:val="BodyText"/>
    <w:qFormat/>
    <w:pPr>
      <w:keepNext/>
      <w:keepLines/>
      <w:spacing w:after="240" w:before="240"/>
      <w:jc w:val="center"/>
    </w:pPr>
    <w:rPr>
      <w:rFonts w:ascii="Times New Roman" w:hAnsi="Times New Roman" w:cs="Times New Roman" w:eastAsia="Times New Roman"/>
      <w:sz w:val="24"/>
      <w:szCs w:val="30"/>
    </w:rPr>
  </w:style>
  <w:style w:customStyle="1" w:styleId="Author" w:type="paragraph">
    <w:name w:val="Author"/>
    <w:next w:val="BodyText"/>
    <w:qFormat/>
    <w:pPr>
      <w:keepNext/>
      <w:keepLines/>
      <w:jc w:val="center"/>
    </w:pPr>
    <w:rPr>
      <w:rFonts w:ascii="Times New Roman" w:hAnsi="Times New Roman" w:cs="Times New Roman" w:eastAsia="Times New Roman"/>
      <w:sz w:val="24"/>
    </w:rPr>
  </w:style>
  <w:style w:styleId="Date" w:type="paragraph">
    <w:name w:val="Date"/>
    <w:next w:val="BodyText"/>
    <w:qFormat/>
    <w:pPr>
      <w:keepNext/>
      <w:keepLines/>
      <w:jc w:val="center"/>
    </w:pPr>
    <w:rPr>
      <w:rFonts w:ascii="Times New Roman" w:hAnsi="Times New Roman" w:cs="Times New Roman" w:eastAsia="Times New Roman"/>
      <w:sz w:val="24"/>
    </w:rPr>
  </w:style>
  <w:style w:customStyle="1" w:styleId="AbstractTitle" w:type="paragraph">
    <w:name w:val="Abstract Title"/>
    <w:basedOn w:val="Normal"/>
    <w:next w:val="Abstract"/>
    <w:qFormat/>
    <w:pPr>
      <w:keepNext/>
      <w:keepLines/>
      <w:jc w:val="center"/>
      <w:spacing w:after="0" w:before="300"/>
    </w:pPr>
    <w:rPr>
      <w:sz w:val="24"/>
      <w:szCs w:val="20"/>
      <w:rFonts w:ascii="Times New Roman" w:hAnsi="Times New Roman" w:cs="Times New Roman" w:eastAsia="Times New Roman"/>
      <w:b/>
    </w:rPr>
  </w:style>
  <w:style w:customStyle="1" w:styleId="Abstract" w:type="paragraph">
    <w:name w:val="Abstract"/>
    <w:basedOn w:val="Normal"/>
    <w:next w:val="BodyText"/>
    <w:qFormat/>
    <w:pPr>
      <w:keepNext/>
      <w:keepLines/>
      <w:spacing w:after="300" w:before="100"/>
    </w:pPr>
    <w:rPr>
      <w:rFonts w:ascii="Times New Roman" w:hAnsi="Times New Roman" w:cs="Times New Roman" w:eastAsia="Times New Roman"/>
      <w:sz w:val="24"/>
      <w:szCs w:val="20"/>
    </w:rPr>
  </w:style>
  <w:style w:styleId="Bibliography" w:type="paragraph">
    <w:name w:val="Bibliography"/>
    <w:basedOn w:val="Normal"/>
    <w:next w:val="Bibliography"/>
    <w:qFormat/>
    <w:pPr/>
    <w:rPr>
      <w:rFonts w:ascii="Times New Roman" w:hAnsi="Times New Roman" w:cs="Times New Roman" w:eastAsia="Times New Roman"/>
      <w:sz w:val="24"/>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ascii="Times New Roman" w:hAnsi="Times New Roman" w:cs="Times New Roman" w:eastAsia="Times New Roman"/>
      <w:b/>
      <w:bCs/>
      <w:sz w:val="24"/>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ascii="Times New Roman" w:hAnsi="Times New Roman" w:cs="Times New Roman" w:eastAsia="Times New Roman"/>
      <w:b/>
      <w:bCs/>
      <w:sz w:val="24"/>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ascii="Times New Roman" w:hAnsi="Times New Roman" w:cs="Times New Roman" w:eastAsia="Times New Roman"/>
      <w:b/>
      <w:bCs/>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ascii="Times New Roman" w:hAnsi="Times New Roman" w:cs="Times New Roman" w:eastAsia="Times New Roman"/>
      <w:i/>
      <w:bCs/>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ascii="Times New Roman" w:hAnsi="Times New Roman" w:cs="Times New Roman" w:eastAsia="Times New Roman"/>
      <w:iCs/>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ascii="Times New Roman" w:hAnsi="Times New Roman" w:cs="Times New Roman" w:eastAsia="Times New Roman"/>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ascii="Times New Roman" w:hAnsi="Times New Roman" w:cs="Times New Roman" w:eastAsia="Times New Roman"/>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ascii="Times New Roman" w:hAnsi="Times New Roman" w:cs="Times New Roman" w:eastAsia="Times New Roman"/>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ascii="Times New Roman" w:hAnsi="Times New Roman" w:cs="Times New Roman" w:eastAsia="Times New Roman"/>
      <w:sz w:val="24"/>
      <w:szCs w:val="24"/>
    </w:rPr>
  </w:style>
  <w:style w:styleId="BlockText" w:type="paragraph">
    <w:name w:val="Block Text"/>
    <w:basedOn w:val="BodyText"/>
    <w:next w:val="BodyText"/>
    <w:uiPriority w:val="9"/>
    <w:unhideWhenUsed/>
    <w:qFormat/>
    <w:pPr>
      <w:spacing w:after="100" w:before="100"/>
      <w:ind w:firstLine="0" w:left="480" w:right="480"/>
    </w:pPr>
    <w:rPr>
      <w:rFonts w:ascii="Times New Roman" w:hAnsi="Times New Roman" w:cs="Times New Roman" w:eastAsia="Times New Roman"/>
      <w:sz w:val="24"/>
    </w:rPr>
  </w:style>
  <w:style w:styleId="FootnoteText" w:type="paragraph">
    <w:name w:val="Footnote Text"/>
    <w:basedOn w:val="Normal"/>
    <w:next w:val="FootnoteText"/>
    <w:uiPriority w:val="9"/>
    <w:unhideWhenUsed/>
    <w:qFormat/>
    <w:rPr>
      <w:rFonts w:ascii="Times New Roman" w:hAnsi="Times New Roman" w:cs="Times New Roman" w:eastAsia="Times New Roman"/>
      <w:sz w:val="24"/>
    </w:rPr>
  </w:style>
  <w:style w:default="1" w:styleId="DefaultParagraphFont" w:type="character">
    <w:name w:val="Default Paragraph Font"/>
    <w:semiHidden/>
    <w:unhideWhenUsed/>
    <w:rPr>
      <w:rFonts w:ascii="Times New Roman" w:hAnsi="Times New Roman" w:cs="Times New Roman" w:eastAsia="Times New Roman"/>
      <w:sz w:val="24"/>
    </w:rPr>
  </w:style>
  <w:style w:default="1" w:styleId="Table" w:type="table">
    <w:name w:val="Table"/>
    <w:basedOn w:val="TableNormal"/>
    <w:semiHidden/>
    <w:unhideWhenUsed/>
    <w:qFormat/>
    <w:rPr>
      <w:rFonts w:ascii="Times New Roman" w:hAnsi="Times New Roman" w:cs="Times New Roman" w:eastAsia="Times New Roman"/>
      <w:sz w:val="24"/>
    </w:rPr>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rFonts w:ascii="Times New Roman" w:hAnsi="Times New Roman" w:cs="Times New Roman" w:eastAsia="Times New Roman"/>
      <w:b/>
      <w:sz w:val="24"/>
    </w:rPr>
  </w:style>
  <w:style w:customStyle="1" w:styleId="Definition" w:type="paragraph">
    <w:name w:val="Definition"/>
    <w:basedOn w:val="Normal"/>
    <w:rPr>
      <w:rFonts w:ascii="Times New Roman" w:hAnsi="Times New Roman" w:cs="Times New Roman" w:eastAsia="Times New Roman"/>
      <w:sz w:val="24"/>
    </w:rPr>
  </w:style>
  <w:style w:styleId="Caption" w:type="paragraph">
    <w:name w:val="Caption"/>
    <w:basedOn w:val="Normal"/>
    <w:link w:val="BodyTextChar"/>
    <w:pPr>
      <w:spacing w:after="120" w:before="0"/>
    </w:pPr>
    <w:rPr>
      <w:rFonts w:ascii="Times New Roman" w:hAnsi="Times New Roman" w:cs="Times New Roman" w:eastAsia="Times New Roman"/>
      <w:i/>
      <w:sz w:val="24"/>
    </w:rPr>
  </w:style>
  <w:style w:customStyle="1" w:styleId="TableCaption" w:type="paragraph">
    <w:name w:val="Table Caption"/>
    <w:basedOn w:val="Caption"/>
    <w:pPr>
      <w:keepNext/>
    </w:pPr>
    <w:rPr>
      <w:rFonts w:ascii="Times New Roman" w:hAnsi="Times New Roman" w:cs="Times New Roman" w:eastAsia="Times New Roman"/>
      <w:sz w:val="24"/>
    </w:rPr>
  </w:style>
  <w:style w:customStyle="1" w:styleId="ImageCaption" w:type="paragraph">
    <w:name w:val="Image Caption"/>
    <w:basedOn w:val="Caption"/>
    <w:rPr>
      <w:rFonts w:ascii="Times New Roman" w:hAnsi="Times New Roman" w:cs="Times New Roman" w:eastAsia="Times New Roman"/>
      <w:sz w:val="24"/>
    </w:rPr>
  </w:style>
  <w:style w:customStyle="1" w:styleId="Figure" w:type="paragraph">
    <w:name w:val="Figure"/>
    <w:basedOn w:val="Normal"/>
    <w:rPr>
      <w:rFonts w:ascii="Times New Roman" w:hAnsi="Times New Roman" w:cs="Times New Roman" w:eastAsia="Times New Roman"/>
      <w:sz w:val="24"/>
    </w:rPr>
  </w:style>
  <w:style w:customStyle="1" w:styleId="CaptionedFigure" w:type="paragraph">
    <w:name w:val="Captioned Figure"/>
    <w:basedOn w:val="Figure"/>
    <w:pPr>
      <w:keepNext/>
    </w:pPr>
    <w:rPr>
      <w:rFonts w:ascii="Times New Roman" w:hAnsi="Times New Roman" w:cs="Times New Roman" w:eastAsia="Times New Roman"/>
      <w:sz w:val="24"/>
    </w:rPr>
  </w:style>
  <w:style w:customStyle="1" w:styleId="BodyTextChar" w:type="character">
    <w:name w:val="Body Text Char"/>
    <w:basedOn w:val="DefaultParagraphFont"/>
    <w:link w:val="BodyText"/>
    <w:rPr>
      <w:rFonts w:ascii="Times New Roman" w:hAnsi="Times New Roman" w:cs="Times New Roman" w:eastAsia="Times New Roman"/>
      <w:sz w:val="24"/>
    </w:rPr>
  </w:style>
  <w:style w:customStyle="1" w:styleId="VerbatimChar" w:type="character">
    <w:name w:val="Verbatim Char"/>
    <w:basedOn w:val="BodyTextChar"/>
    <w:rPr>
      <w:rFonts w:ascii="Times New Roman" w:hAnsi="Times New Roman" w:cs="Times New Roman" w:eastAsia="Times New Roman"/>
      <w:sz w:val="24"/>
    </w:rPr>
  </w:style>
  <w:style w:customStyle="1" w:styleId="SectionNumber" w:type="character">
    <w:name w:val="Section Number"/>
    <w:basedOn w:val="BodyTextChar"/>
    <w:rPr>
      <w:rFonts w:ascii="Times New Roman" w:hAnsi="Times New Roman" w:cs="Times New Roman" w:eastAsia="Times New Roman"/>
      <w:sz w:val="24"/>
    </w:rPr>
  </w:style>
  <w:style w:styleId="FootnoteReference" w:type="character">
    <w:name w:val="Footnote Reference"/>
    <w:basedOn w:val="BodyTextChar"/>
    <w:rPr>
      <w:rFonts w:ascii="Times New Roman" w:hAnsi="Times New Roman" w:cs="Times New Roman" w:eastAsia="Times New Roman"/>
      <w:sz w:val="24"/>
      <w:vertAlign w:val="superscript"/>
    </w:rPr>
  </w:style>
  <w:style w:styleId="Hyperlink" w:type="character">
    <w:name w:val="Hyperlink"/>
    <w:basedOn w:val="BodyTextChar"/>
    <w:rPr>
      <w:rFonts w:ascii="Times New Roman" w:hAnsi="Times New Roman" w:cs="Times New Roman" w:eastAsia="Times New Roman"/>
      <w:sz w:val="24"/>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ascii="Times New Roman" w:hAnsi="Times New Roman" w:cs="Times New Roman" w:eastAsia="Times New Roman"/>
      <w:b w:val="0"/>
      <w:bCs w:val="0"/>
      <w:sz w:val="24"/>
    </w:rPr>
  </w:style>
  <w:style w:type="paragraph" w:customStyle="1" w:styleId="Center">
    <w:name w:val="Center"/>
    <w:basedOn w:val="BodyText"/>
    <w:qFormat/>
    <w:rPr>
      <w:rFonts w:ascii="Times New Roman" w:hAnsi="Times New Roman" w:cs="Times New Roman" w:eastAsia="Times New Roman"/>
      <w:sz w:val="24"/>
    </w:rPr>
  </w:style>
  <w:style w:type="paragraph" w:customStyle="1" w:styleId="Ref">
    <w:name w:val="Ref"/>
    <w:basedOn w:val="BodyText"/>
    <w:qFormat/>
    <w:rPr>
      <w:rFonts w:ascii="Times New Roman" w:hAnsi="Times New Roman" w:cs="Times New Roman" w:eastAsia="Times New Roman"/>
      <w:sz w:val="24"/>
    </w:rPr>
  </w:style>
  <w:style w:type="paragraph" w:customStyle="1" w:styleId="SourceCode">
    <w:name w:val="Source Code"/>
    <w:basedOn w:val="Normal"/>
    <w:link w:val="VerbatimChar"/>
    <w:pPr>
      <w:wordWrap w:val="off"/>
    </w:pPr>
    <w:rPr>
      <w:rFonts w:ascii="Times New Roman" w:hAnsi="Times New Roman" w:cs="Times New Roman" w:eastAsia="Times New Roman"/>
      <w:sz w:val="24"/>
    </w:rPr>
  </w:style>
  <w:style w:type="character" w:customStyle="1" w:styleId="KeywordTok">
    <w:name w:val="KeywordTok"/>
    <w:basedOn w:val="VerbatimChar"/>
    <w:rPr>
      <w:rFonts w:ascii="Times New Roman" w:hAnsi="Times New Roman" w:cs="Times New Roman" w:eastAsia="Times New Roman"/>
      <w:b/>
      <w:sz w:val="24"/>
    </w:rPr>
  </w:style>
  <w:style w:type="character" w:customStyle="1" w:styleId="DataTypeTok">
    <w:name w:val="DataTypeTok"/>
    <w:basedOn w:val="VerbatimChar"/>
    <w:rPr>
      <w:rFonts w:ascii="Times New Roman" w:hAnsi="Times New Roman" w:cs="Times New Roman" w:eastAsia="Times New Roman"/>
      <w:sz w:val="24"/>
    </w:rPr>
  </w:style>
  <w:style w:type="character" w:customStyle="1" w:styleId="DecValTok">
    <w:name w:val="DecValTok"/>
    <w:basedOn w:val="VerbatimChar"/>
    <w:rPr>
      <w:rFonts w:ascii="Times New Roman" w:hAnsi="Times New Roman" w:cs="Times New Roman" w:eastAsia="Times New Roman"/>
      <w:sz w:val="24"/>
    </w:rPr>
  </w:style>
  <w:style w:type="character" w:customStyle="1" w:styleId="BaseNTok">
    <w:name w:val="BaseNTok"/>
    <w:basedOn w:val="VerbatimChar"/>
    <w:rPr>
      <w:rFonts w:ascii="Times New Roman" w:hAnsi="Times New Roman" w:cs="Times New Roman" w:eastAsia="Times New Roman"/>
      <w:sz w:val="24"/>
    </w:rPr>
  </w:style>
  <w:style w:type="character" w:customStyle="1" w:styleId="FloatTok">
    <w:name w:val="FloatTok"/>
    <w:basedOn w:val="VerbatimChar"/>
    <w:rPr>
      <w:rFonts w:ascii="Times New Roman" w:hAnsi="Times New Roman" w:cs="Times New Roman" w:eastAsia="Times New Roman"/>
      <w:sz w:val="24"/>
    </w:rPr>
  </w:style>
  <w:style w:type="character" w:customStyle="1" w:styleId="ConstantTok">
    <w:name w:val="ConstantTok"/>
    <w:basedOn w:val="VerbatimChar"/>
    <w:rPr>
      <w:rFonts w:ascii="Times New Roman" w:hAnsi="Times New Roman" w:cs="Times New Roman" w:eastAsia="Times New Roman"/>
      <w:sz w:val="24"/>
    </w:rPr>
  </w:style>
  <w:style w:type="character" w:customStyle="1" w:styleId="CharTok">
    <w:name w:val="CharTok"/>
    <w:basedOn w:val="VerbatimChar"/>
    <w:rPr>
      <w:rFonts w:ascii="Times New Roman" w:hAnsi="Times New Roman" w:cs="Times New Roman" w:eastAsia="Times New Roman"/>
      <w:sz w:val="24"/>
    </w:rPr>
  </w:style>
  <w:style w:type="character" w:customStyle="1" w:styleId="SpecialCharTok">
    <w:name w:val="SpecialCharTok"/>
    <w:basedOn w:val="VerbatimChar"/>
    <w:rPr>
      <w:rFonts w:ascii="Times New Roman" w:hAnsi="Times New Roman" w:cs="Times New Roman" w:eastAsia="Times New Roman"/>
      <w:sz w:val="24"/>
    </w:rPr>
  </w:style>
  <w:style w:type="character" w:customStyle="1" w:styleId="StringTok">
    <w:name w:val="StringTok"/>
    <w:basedOn w:val="VerbatimChar"/>
    <w:rPr>
      <w:rFonts w:ascii="Times New Roman" w:hAnsi="Times New Roman" w:cs="Times New Roman" w:eastAsia="Times New Roman"/>
      <w:sz w:val="24"/>
    </w:rPr>
  </w:style>
  <w:style w:type="character" w:customStyle="1" w:styleId="VerbatimStringTok">
    <w:name w:val="VerbatimStringTok"/>
    <w:basedOn w:val="VerbatimChar"/>
    <w:rPr>
      <w:rFonts w:ascii="Times New Roman" w:hAnsi="Times New Roman" w:cs="Times New Roman" w:eastAsia="Times New Roman"/>
      <w:sz w:val="24"/>
    </w:rPr>
  </w:style>
  <w:style w:type="character" w:customStyle="1" w:styleId="SpecialStringTok">
    <w:name w:val="SpecialStringTok"/>
    <w:basedOn w:val="VerbatimChar"/>
    <w:rPr>
      <w:rFonts w:ascii="Times New Roman" w:hAnsi="Times New Roman" w:cs="Times New Roman" w:eastAsia="Times New Roman"/>
      <w:sz w:val="24"/>
    </w:rPr>
  </w:style>
  <w:style w:type="character" w:customStyle="1" w:styleId="ImportTok">
    <w:name w:val="ImportTok"/>
    <w:basedOn w:val="VerbatimChar"/>
    <w:rPr>
      <w:rFonts w:ascii="Times New Roman" w:hAnsi="Times New Roman" w:cs="Times New Roman" w:eastAsia="Times New Roman"/>
      <w:b/>
      <w:sz w:val="24"/>
    </w:rPr>
  </w:style>
  <w:style w:type="character" w:customStyle="1" w:styleId="CommentTok">
    <w:name w:val="CommentTok"/>
    <w:basedOn w:val="VerbatimChar"/>
    <w:rPr>
      <w:rFonts w:ascii="Times New Roman" w:hAnsi="Times New Roman" w:cs="Times New Roman" w:eastAsia="Times New Roman"/>
      <w:i/>
      <w:sz w:val="24"/>
    </w:rPr>
  </w:style>
  <w:style w:type="character" w:customStyle="1" w:styleId="DocumentationTok">
    <w:name w:val="DocumentationTok"/>
    <w:basedOn w:val="VerbatimChar"/>
    <w:rPr>
      <w:rFonts w:ascii="Times New Roman" w:hAnsi="Times New Roman" w:cs="Times New Roman" w:eastAsia="Times New Roman"/>
      <w:i/>
      <w:sz w:val="24"/>
    </w:rPr>
  </w:style>
  <w:style w:type="character" w:customStyle="1" w:styleId="AnnotationTok">
    <w:name w:val="AnnotationTok"/>
    <w:basedOn w:val="VerbatimChar"/>
    <w:rPr>
      <w:rFonts w:ascii="Times New Roman" w:hAnsi="Times New Roman" w:cs="Times New Roman" w:eastAsia="Times New Roman"/>
      <w:b/>
      <w:i/>
      <w:sz w:val="24"/>
    </w:rPr>
  </w:style>
  <w:style w:type="character" w:customStyle="1" w:styleId="CommentVarTok">
    <w:name w:val="CommentVarTok"/>
    <w:basedOn w:val="VerbatimChar"/>
    <w:rPr>
      <w:rFonts w:ascii="Times New Roman" w:hAnsi="Times New Roman" w:cs="Times New Roman" w:eastAsia="Times New Roman"/>
      <w:b/>
      <w:i/>
      <w:sz w:val="24"/>
    </w:rPr>
  </w:style>
  <w:style w:type="character" w:customStyle="1" w:styleId="OtherTok">
    <w:name w:val="OtherTok"/>
    <w:basedOn w:val="VerbatimChar"/>
    <w:rPr>
      <w:rFonts w:ascii="Times New Roman" w:hAnsi="Times New Roman" w:cs="Times New Roman" w:eastAsia="Times New Roman"/>
      <w:sz w:val="24"/>
    </w:rPr>
  </w:style>
  <w:style w:type="character" w:customStyle="1" w:styleId="FunctionTok">
    <w:name w:val="FunctionTok"/>
    <w:basedOn w:val="VerbatimChar"/>
    <w:rPr>
      <w:rFonts w:ascii="Times New Roman" w:hAnsi="Times New Roman" w:cs="Times New Roman" w:eastAsia="Times New Roman"/>
      <w:sz w:val="24"/>
    </w:rPr>
  </w:style>
  <w:style w:type="character" w:customStyle="1" w:styleId="VariableTok">
    <w:name w:val="VariableTok"/>
    <w:basedOn w:val="VerbatimChar"/>
    <w:rPr>
      <w:rFonts w:ascii="Times New Roman" w:hAnsi="Times New Roman" w:cs="Times New Roman" w:eastAsia="Times New Roman"/>
      <w:sz w:val="24"/>
    </w:rPr>
  </w:style>
  <w:style w:type="character" w:customStyle="1" w:styleId="ControlFlowTok">
    <w:name w:val="ControlFlowTok"/>
    <w:basedOn w:val="VerbatimChar"/>
    <w:rPr>
      <w:rFonts w:ascii="Times New Roman" w:hAnsi="Times New Roman" w:cs="Times New Roman" w:eastAsia="Times New Roman"/>
      <w:b/>
      <w:sz w:val="24"/>
    </w:rPr>
  </w:style>
  <w:style w:type="character" w:customStyle="1" w:styleId="OperatorTok">
    <w:name w:val="OperatorTok"/>
    <w:basedOn w:val="VerbatimChar"/>
    <w:rPr>
      <w:rFonts w:ascii="Times New Roman" w:hAnsi="Times New Roman" w:cs="Times New Roman" w:eastAsia="Times New Roman"/>
      <w:sz w:val="24"/>
    </w:rPr>
  </w:style>
  <w:style w:type="character" w:customStyle="1" w:styleId="BuiltInTok">
    <w:name w:val="BuiltInTok"/>
    <w:basedOn w:val="VerbatimChar"/>
    <w:rPr>
      <w:rFonts w:ascii="Times New Roman" w:hAnsi="Times New Roman" w:cs="Times New Roman" w:eastAsia="Times New Roman"/>
      <w:sz w:val="24"/>
    </w:rPr>
  </w:style>
  <w:style w:type="character" w:customStyle="1" w:styleId="ExtensionTok">
    <w:name w:val="ExtensionTok"/>
    <w:basedOn w:val="VerbatimChar"/>
    <w:rPr>
      <w:rFonts w:ascii="Times New Roman" w:hAnsi="Times New Roman" w:cs="Times New Roman" w:eastAsia="Times New Roman"/>
      <w:sz w:val="24"/>
    </w:rPr>
  </w:style>
  <w:style w:type="character" w:customStyle="1" w:styleId="PreprocessorTok">
    <w:name w:val="PreprocessorTok"/>
    <w:basedOn w:val="VerbatimChar"/>
    <w:rPr>
      <w:rFonts w:ascii="Times New Roman" w:hAnsi="Times New Roman" w:cs="Times New Roman" w:eastAsia="Times New Roman"/>
      <w:sz w:val="24"/>
    </w:rPr>
  </w:style>
  <w:style w:type="character" w:customStyle="1" w:styleId="AttributeTok">
    <w:name w:val="AttributeTok"/>
    <w:basedOn w:val="VerbatimChar"/>
    <w:rPr>
      <w:rFonts w:ascii="Times New Roman" w:hAnsi="Times New Roman" w:cs="Times New Roman" w:eastAsia="Times New Roman"/>
      <w:sz w:val="24"/>
    </w:rPr>
  </w:style>
  <w:style w:type="character" w:customStyle="1" w:styleId="RegionMarkerTok">
    <w:name w:val="RegionMarkerTok"/>
    <w:basedOn w:val="VerbatimChar"/>
    <w:rPr>
      <w:rFonts w:ascii="Times New Roman" w:hAnsi="Times New Roman" w:cs="Times New Roman" w:eastAsia="Times New Roman"/>
      <w:sz w:val="24"/>
    </w:rPr>
  </w:style>
  <w:style w:type="character" w:customStyle="1" w:styleId="InformationTok">
    <w:name w:val="InformationTok"/>
    <w:basedOn w:val="VerbatimChar"/>
    <w:rPr>
      <w:rFonts w:ascii="Times New Roman" w:hAnsi="Times New Roman" w:cs="Times New Roman" w:eastAsia="Times New Roman"/>
      <w:b/>
      <w:i/>
      <w:sz w:val="24"/>
    </w:rPr>
  </w:style>
  <w:style w:type="character" w:customStyle="1" w:styleId="WarningTok">
    <w:name w:val="WarningTok"/>
    <w:basedOn w:val="VerbatimChar"/>
    <w:rPr>
      <w:rFonts w:ascii="Times New Roman" w:hAnsi="Times New Roman" w:cs="Times New Roman" w:eastAsia="Times New Roman"/>
      <w:b/>
      <w:i/>
      <w:sz w:val="24"/>
    </w:rPr>
  </w:style>
  <w:style w:type="character" w:customStyle="1" w:styleId="AlertTok">
    <w:name w:val="AlertTok"/>
    <w:basedOn w:val="VerbatimChar"/>
    <w:rPr>
      <w:rFonts w:ascii="Times New Roman" w:hAnsi="Times New Roman" w:cs="Times New Roman" w:eastAsia="Times New Roman"/>
      <w:b/>
      <w:sz w:val="24"/>
    </w:rPr>
  </w:style>
  <w:style w:type="character" w:customStyle="1" w:styleId="ErrorTok">
    <w:name w:val="ErrorTok"/>
    <w:basedOn w:val="VerbatimChar"/>
    <w:rPr>
      <w:rFonts w:ascii="Times New Roman" w:hAnsi="Times New Roman" w:cs="Times New Roman" w:eastAsia="Times New Roman"/>
      <w:b/>
      <w:sz w:val="24"/>
    </w:rPr>
  </w:style>
  <w:style w:type="character" w:customStyle="1" w:styleId="NormalTok">
    <w:name w:val="NormalTok"/>
    <w:basedOn w:val="VerbatimChar"/>
    <w:rPr>
      <w:rFonts w:ascii="Times New Roman" w:hAnsi="Times New Roman" w:cs="Times New Roman" w:eastAsia="Times New Roman"/>
      <w:sz w:val="24"/>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2026-11-08T16:39:22Z</dcterms:created>
  <dcterms:modified xsi:type="dcterms:W3CDTF">2026-11-08T16:39:22Z</dcterms:modified>
</cp:coreProperties>
</file>

<file path=docProps/custom.xml><?xml version="1.0" encoding="utf-8"?>
<Properties xmlns="http://schemas.openxmlformats.org/officeDocument/2006/custom-properties" xmlns:vt="http://schemas.openxmlformats.org/officeDocument/2006/docPropsVTypes"/>
</file>